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7AA9" w14:textId="54AD4F74" w:rsidR="00EF686F" w:rsidRPr="004B0471" w:rsidRDefault="00B311B3" w:rsidP="005B5114">
      <w:pPr>
        <w:spacing w:after="120"/>
        <w:jc w:val="both"/>
        <w:outlineLvl w:val="2"/>
        <w:rPr>
          <w:b/>
        </w:rPr>
      </w:pPr>
      <w:bookmarkStart w:id="0" w:name="_Toc296439223"/>
      <w:r w:rsidRPr="004B0471">
        <w:rPr>
          <w:b/>
        </w:rPr>
        <w:t>ARAŞTIRMA FAALİYETLERİ</w:t>
      </w:r>
      <w:bookmarkEnd w:id="0"/>
    </w:p>
    <w:p w14:paraId="7C766210" w14:textId="29BC34C9" w:rsidR="00D50AD8" w:rsidRPr="00D50AD8" w:rsidRDefault="002D2BA3" w:rsidP="005B5114">
      <w:pPr>
        <w:spacing w:after="120"/>
        <w:jc w:val="both"/>
      </w:pPr>
      <w:r w:rsidRPr="004B0471">
        <w:rPr>
          <w:rFonts w:eastAsia="Calibri"/>
          <w:b/>
          <w:bCs/>
        </w:rPr>
        <w:t>Bilgilendirme:</w:t>
      </w:r>
      <w:r w:rsidRPr="004B0471">
        <w:rPr>
          <w:rFonts w:eastAsia="Calibri"/>
        </w:rPr>
        <w:t xml:space="preserve"> </w:t>
      </w:r>
      <w:r w:rsidR="0025735E" w:rsidRPr="004B0471">
        <w:rPr>
          <w:rFonts w:eastAsia="Calibri"/>
        </w:rPr>
        <w:t>ODTÜ’nün</w:t>
      </w:r>
      <w:r w:rsidR="00D50AD8">
        <w:rPr>
          <w:rFonts w:eastAsia="Calibri"/>
        </w:rPr>
        <w:t xml:space="preserve"> </w:t>
      </w:r>
      <w:r w:rsidR="0025735E" w:rsidRPr="004B0471">
        <w:rPr>
          <w:rFonts w:eastAsia="Calibri"/>
        </w:rPr>
        <w:t>TÜBİTAK’ın v</w:t>
      </w:r>
      <w:r w:rsidR="00D50AD8">
        <w:rPr>
          <w:rFonts w:eastAsia="Calibri"/>
        </w:rPr>
        <w:t xml:space="preserve">e </w:t>
      </w:r>
      <w:r w:rsidR="0025735E" w:rsidRPr="004B0471">
        <w:rPr>
          <w:rFonts w:eastAsia="Calibri"/>
        </w:rPr>
        <w:t>Ufuk Avrupa’nın imkanlarından en etkin şekilde yararlanabilmesi için yürütülen sistematik bilgilendirme faaliyetleri 2025 yılında da sürdürülmüştür.</w:t>
      </w:r>
      <w:r w:rsidR="008477C5" w:rsidRPr="004B0471">
        <w:t xml:space="preserve"> </w:t>
      </w:r>
      <w:r w:rsidR="008477C5" w:rsidRPr="004B0471">
        <w:rPr>
          <w:rFonts w:eastAsia="Calibri"/>
        </w:rPr>
        <w:t xml:space="preserve">Bu kapsamda, </w:t>
      </w:r>
      <w:r w:rsidR="001723D9">
        <w:rPr>
          <w:rFonts w:eastAsia="Calibri"/>
        </w:rPr>
        <w:t xml:space="preserve">ulusal ve uluslararası </w:t>
      </w:r>
      <w:r w:rsidR="008477C5" w:rsidRPr="004B0471">
        <w:rPr>
          <w:rFonts w:eastAsia="Calibri"/>
        </w:rPr>
        <w:t>çağrı, etkinlik ve fon fırsatları</w:t>
      </w:r>
      <w:r w:rsidR="00D50AD8">
        <w:rPr>
          <w:rFonts w:eastAsia="Calibri"/>
        </w:rPr>
        <w:t xml:space="preserve"> </w:t>
      </w:r>
      <w:r w:rsidR="00D50AD8" w:rsidRPr="004B0471">
        <w:rPr>
          <w:rFonts w:eastAsia="Calibri"/>
        </w:rPr>
        <w:t>araştırmacılar</w:t>
      </w:r>
      <w:r w:rsidR="00D50AD8">
        <w:rPr>
          <w:rFonts w:eastAsia="Calibri"/>
        </w:rPr>
        <w:t>la</w:t>
      </w:r>
      <w:r w:rsidR="008477C5" w:rsidRPr="004B0471">
        <w:rPr>
          <w:rFonts w:eastAsia="Calibri"/>
        </w:rPr>
        <w:t xml:space="preserve"> düzenli olarak </w:t>
      </w:r>
      <w:r w:rsidR="00D50AD8">
        <w:rPr>
          <w:rFonts w:eastAsia="Calibri"/>
        </w:rPr>
        <w:t>paylaşılmış;</w:t>
      </w:r>
      <w:r w:rsidR="00D50AD8">
        <w:t xml:space="preserve"> başvuru süreçlerine yönelik bilgilendirme ve bireysel destek sağlanmıştır.</w:t>
      </w:r>
      <w:r w:rsidR="00F40975">
        <w:t xml:space="preserve"> Bilgilendirme faaliyetleri Genel, Gru</w:t>
      </w:r>
      <w:r w:rsidR="00574E25">
        <w:t xml:space="preserve">p </w:t>
      </w:r>
      <w:r w:rsidR="00F40975">
        <w:t>ve Birebir olmak üzere üç şekilde ele alınmaktadır:</w:t>
      </w:r>
    </w:p>
    <w:p w14:paraId="250308B0" w14:textId="1C50FC72" w:rsidR="00D50AD8" w:rsidRDefault="002D2BA3" w:rsidP="00A47782">
      <w:pPr>
        <w:spacing w:after="120"/>
        <w:jc w:val="both"/>
      </w:pPr>
      <w:r w:rsidRPr="004B0471">
        <w:rPr>
          <w:rFonts w:eastAsia="Calibri"/>
          <w:b/>
          <w:bCs/>
        </w:rPr>
        <w:t>Genel Bilgilendirme:</w:t>
      </w:r>
      <w:r w:rsidRPr="004B0471">
        <w:rPr>
          <w:rFonts w:eastAsia="Calibri"/>
        </w:rPr>
        <w:t xml:space="preserve"> </w:t>
      </w:r>
      <w:r w:rsidR="00D50AD8">
        <w:t xml:space="preserve">2025 yılı boyunca </w:t>
      </w:r>
      <w:hyperlink r:id="rId8" w:history="1">
        <w:r w:rsidR="00D50AD8" w:rsidRPr="004349DB">
          <w:rPr>
            <w:rStyle w:val="Kpr"/>
          </w:rPr>
          <w:t>research@metu.edu.tr</w:t>
        </w:r>
      </w:hyperlink>
      <w:r w:rsidR="00D50AD8">
        <w:t xml:space="preserve"> ve EURAXESS kanalları üzerinden çok sayıda duyuru yayımlanmış; başta TÜBİTAK ve Ufuk Avrupa olmak üzere çeşitli ulusal ve uluslararası fon çağrıları araştırmacılarımızla paylaşılmıştır. Duyurular, çağrı bilgilerinin yanı sıra eğitimler, bilgi günleri, ortak bulma etkinlikleri ve proje pazarları da içermiştir. Bu faaliyetlerle araştırmacıların uygun çağrılara yönlendirilmesi, uluslararası konsorsiyumlara katılımları ve üniversite içi iş birliğinin artırılması hedeflenmiştir.</w:t>
      </w:r>
    </w:p>
    <w:p w14:paraId="3E52C203" w14:textId="01B0E784" w:rsidR="00D50AD8" w:rsidRPr="00D50AD8" w:rsidRDefault="002D2BA3" w:rsidP="00A47782">
      <w:pPr>
        <w:spacing w:after="120"/>
        <w:jc w:val="both"/>
      </w:pPr>
      <w:r w:rsidRPr="004B0471">
        <w:rPr>
          <w:rFonts w:eastAsia="Calibri"/>
        </w:rPr>
        <w:t>ODTÜ Araştırmalar Koordinatörlüğü tarafından düzenlenen Araştırma Bilgi Günleri-202</w:t>
      </w:r>
      <w:r w:rsidR="003332DC" w:rsidRPr="004B0471">
        <w:rPr>
          <w:rFonts w:eastAsia="Calibri"/>
        </w:rPr>
        <w:t>5</w:t>
      </w:r>
      <w:r w:rsidRPr="004B0471">
        <w:rPr>
          <w:rFonts w:eastAsia="Calibri"/>
        </w:rPr>
        <w:t xml:space="preserve"> kapsamında </w:t>
      </w:r>
      <w:r w:rsidR="00BA444E">
        <w:rPr>
          <w:rFonts w:eastAsia="Calibri"/>
        </w:rPr>
        <w:t xml:space="preserve">hem öğrencilere </w:t>
      </w:r>
      <w:r w:rsidR="001723D9" w:rsidRPr="004B0471">
        <w:rPr>
          <w:rFonts w:eastAsia="Calibri"/>
        </w:rPr>
        <w:t xml:space="preserve">hem </w:t>
      </w:r>
      <w:r w:rsidR="00BA444E">
        <w:rPr>
          <w:rFonts w:eastAsia="Calibri"/>
        </w:rPr>
        <w:t xml:space="preserve">de </w:t>
      </w:r>
      <w:r w:rsidR="001723D9" w:rsidRPr="004B0471">
        <w:rPr>
          <w:rFonts w:eastAsia="Calibri"/>
        </w:rPr>
        <w:t xml:space="preserve">kariyerinin erken aşamalarındaki </w:t>
      </w:r>
      <w:r w:rsidR="00BA444E">
        <w:rPr>
          <w:rFonts w:eastAsia="Calibri"/>
        </w:rPr>
        <w:t xml:space="preserve">ve </w:t>
      </w:r>
      <w:r w:rsidR="001723D9" w:rsidRPr="004B0471">
        <w:rPr>
          <w:rFonts w:eastAsia="Calibri"/>
        </w:rPr>
        <w:t xml:space="preserve">deneyimli araştırmacılara yönelik aşağıda listelenen bilgilendirme </w:t>
      </w:r>
      <w:r w:rsidR="00D50AD8">
        <w:rPr>
          <w:rFonts w:eastAsia="Calibri"/>
        </w:rPr>
        <w:t>etkinlikleri</w:t>
      </w:r>
      <w:r w:rsidR="001723D9" w:rsidRPr="004B0471">
        <w:rPr>
          <w:rFonts w:eastAsia="Calibri"/>
        </w:rPr>
        <w:t xml:space="preserve"> </w:t>
      </w:r>
      <w:r w:rsidRPr="004B0471">
        <w:rPr>
          <w:rFonts w:eastAsia="Calibri"/>
        </w:rPr>
        <w:t>düzenlenmiştir:</w:t>
      </w:r>
      <w:bookmarkStart w:id="1" w:name="_Hlk156224529"/>
    </w:p>
    <w:p w14:paraId="1C620311" w14:textId="77777777" w:rsidR="00A47782" w:rsidRDefault="007F3A1C" w:rsidP="00A47782">
      <w:pPr>
        <w:pStyle w:val="ListeParagraf"/>
        <w:numPr>
          <w:ilvl w:val="0"/>
          <w:numId w:val="13"/>
        </w:numPr>
        <w:spacing w:after="120"/>
        <w:jc w:val="both"/>
        <w:rPr>
          <w:rFonts w:eastAsia="Calibri"/>
          <w:lang w:val="tr-TR"/>
        </w:rPr>
      </w:pPr>
      <w:r w:rsidRPr="004B0471">
        <w:rPr>
          <w:rFonts w:eastAsia="Calibri"/>
          <w:lang w:val="tr-TR"/>
        </w:rPr>
        <w:t>Üniversitemiz Araştırmalar Koordinatörlüğü ve Basın Ofisi’nin katkılarıyla, Slovenya Büyükelçiliği iş birliğinde 13</w:t>
      </w:r>
      <w:r w:rsidR="009151B7" w:rsidRPr="004B0471">
        <w:rPr>
          <w:rFonts w:eastAsia="Calibri"/>
          <w:lang w:val="tr-TR"/>
        </w:rPr>
        <w:t xml:space="preserve"> Ocak </w:t>
      </w:r>
      <w:r w:rsidR="004A5EB8">
        <w:rPr>
          <w:rFonts w:eastAsia="Calibri"/>
          <w:lang w:val="tr-TR"/>
        </w:rPr>
        <w:t xml:space="preserve">- </w:t>
      </w:r>
      <w:r w:rsidR="009151B7" w:rsidRPr="004B0471">
        <w:rPr>
          <w:rFonts w:eastAsia="Calibri"/>
          <w:lang w:val="tr-TR"/>
        </w:rPr>
        <w:t xml:space="preserve">14 Şubat </w:t>
      </w:r>
      <w:r w:rsidRPr="004B0471">
        <w:rPr>
          <w:rFonts w:eastAsia="Calibri"/>
          <w:lang w:val="tr-TR"/>
        </w:rPr>
        <w:t>2025 tarihleri arasında ODTÜ Kültür ve Kongre Merkezi’nde “Akdeniz’in Marie Curieleri” sergisi düzenlenmiş; açılışı gerçekleştirilmiştir. A</w:t>
      </w:r>
      <w:r w:rsidR="004A5EB8">
        <w:rPr>
          <w:rFonts w:eastAsia="Calibri"/>
          <w:lang w:val="tr-TR"/>
        </w:rPr>
        <w:t>B</w:t>
      </w:r>
      <w:r w:rsidRPr="004B0471">
        <w:rPr>
          <w:rFonts w:eastAsia="Calibri"/>
          <w:lang w:val="tr-TR"/>
        </w:rPr>
        <w:t xml:space="preserve">’nin MSCA programı kapsamında yürütülen MEDNIGHT projesi çerçevesinde hazırlanan sergi, 22 ülkeden kadın bilim insanlarının yaşam öykülerini ve bilimsel kariyerlerini 32 panel aracılığıyla sunmuş; açılış kapsamında </w:t>
      </w:r>
      <w:r w:rsidR="001D7592" w:rsidRPr="004B0471">
        <w:rPr>
          <w:rFonts w:eastAsia="Calibri"/>
          <w:lang w:val="tr-TR"/>
        </w:rPr>
        <w:t xml:space="preserve">ise </w:t>
      </w:r>
      <w:r w:rsidRPr="004B0471">
        <w:rPr>
          <w:rFonts w:eastAsia="Calibri"/>
          <w:lang w:val="tr-TR"/>
        </w:rPr>
        <w:t xml:space="preserve">MSCA bursiyeri araştırmacıların </w:t>
      </w:r>
      <w:r w:rsidR="00AD1486" w:rsidRPr="004B0471">
        <w:rPr>
          <w:rFonts w:eastAsia="Calibri"/>
          <w:lang w:val="tr-TR"/>
        </w:rPr>
        <w:t xml:space="preserve">tecrübe paylaşımı yaptığı </w:t>
      </w:r>
      <w:r w:rsidRPr="004B0471">
        <w:rPr>
          <w:rFonts w:eastAsia="Calibri"/>
          <w:lang w:val="tr-TR"/>
        </w:rPr>
        <w:t>bir panel de düzenlenerek üniversitemizin uluslararası araştırmacı</w:t>
      </w:r>
      <w:r w:rsidR="009151B7" w:rsidRPr="004B0471">
        <w:rPr>
          <w:rFonts w:eastAsia="Calibri"/>
          <w:lang w:val="tr-TR"/>
        </w:rPr>
        <w:t>lara</w:t>
      </w:r>
      <w:r w:rsidRPr="004B0471">
        <w:rPr>
          <w:rFonts w:eastAsia="Calibri"/>
          <w:lang w:val="tr-TR"/>
        </w:rPr>
        <w:t xml:space="preserve"> görünürlüğünün, bilim diplomasisi faaliyetlerinin ve kadın araştırmacıların bilimsel temsiline yönelik farkındalığın güçlendirilmesine katkı sağlanmıştır.</w:t>
      </w:r>
      <w:r w:rsidR="002A43C0" w:rsidRPr="004B0471">
        <w:rPr>
          <w:rFonts w:eastAsia="Calibri"/>
          <w:lang w:val="tr-TR"/>
        </w:rPr>
        <w:t xml:space="preserve"> </w:t>
      </w:r>
    </w:p>
    <w:p w14:paraId="5DC94DA6" w14:textId="297D50BE" w:rsidR="007F3A1C" w:rsidRPr="00A47782" w:rsidRDefault="00A47782" w:rsidP="00A47782">
      <w:pPr>
        <w:pStyle w:val="ListeParagraf"/>
        <w:spacing w:after="120"/>
        <w:ind w:left="360"/>
        <w:jc w:val="both"/>
        <w:rPr>
          <w:rFonts w:eastAsia="Calibri"/>
          <w:lang w:val="tr-TR"/>
        </w:rPr>
      </w:pPr>
      <w:hyperlink r:id="rId9" w:history="1">
        <w:r w:rsidRPr="00983262">
          <w:rPr>
            <w:rStyle w:val="Kpr"/>
            <w:rFonts w:eastAsia="Calibri"/>
            <w:lang w:val="tr-TR"/>
          </w:rPr>
          <w:t>https://www.aa.com.tr/tr/kultur/slovenya-disisleri-bakani-fajon-akdenizin-marie-curieleri-sergisi-acilisina-katildi/3449046</w:t>
        </w:r>
      </w:hyperlink>
    </w:p>
    <w:p w14:paraId="0FA3C43B" w14:textId="5CF73F1A" w:rsidR="00885E1A" w:rsidRPr="004B0471" w:rsidRDefault="003C3137" w:rsidP="00166571">
      <w:pPr>
        <w:pStyle w:val="ListeParagraf"/>
        <w:numPr>
          <w:ilvl w:val="0"/>
          <w:numId w:val="13"/>
        </w:numPr>
        <w:spacing w:after="120"/>
        <w:jc w:val="both"/>
        <w:rPr>
          <w:rFonts w:eastAsia="Calibri"/>
          <w:lang w:val="tr-TR"/>
        </w:rPr>
      </w:pPr>
      <w:bookmarkStart w:id="2" w:name="OLE_LINK1"/>
      <w:bookmarkEnd w:id="1"/>
      <w:r w:rsidRPr="004B0471">
        <w:rPr>
          <w:rFonts w:eastAsia="Calibri"/>
          <w:lang w:val="tr-TR"/>
        </w:rPr>
        <w:t xml:space="preserve">23 Haziran 2025 Pazartesi günü </w:t>
      </w:r>
      <w:r w:rsidR="00623851" w:rsidRPr="004B0471">
        <w:rPr>
          <w:rFonts w:eastAsia="Calibri"/>
          <w:lang w:val="tr-TR"/>
        </w:rPr>
        <w:t xml:space="preserve">Proje Geliştirme Ofisi </w:t>
      </w:r>
      <w:r w:rsidR="00554669" w:rsidRPr="004B0471">
        <w:rPr>
          <w:rFonts w:eastAsia="Calibri"/>
          <w:lang w:val="tr-TR"/>
        </w:rPr>
        <w:t xml:space="preserve">ekibi </w:t>
      </w:r>
      <w:r w:rsidR="00623851" w:rsidRPr="004B0471">
        <w:rPr>
          <w:rFonts w:eastAsia="Calibri"/>
          <w:lang w:val="tr-TR"/>
        </w:rPr>
        <w:t xml:space="preserve">tarafından </w:t>
      </w:r>
      <w:r w:rsidR="009776A4">
        <w:rPr>
          <w:rFonts w:eastAsia="Calibri"/>
          <w:lang w:val="tr-TR"/>
        </w:rPr>
        <w:t xml:space="preserve">yaklaşık 35 kişinin katılımıyla, </w:t>
      </w:r>
      <w:r w:rsidR="00914F27">
        <w:rPr>
          <w:rFonts w:eastAsia="Calibri"/>
          <w:lang w:val="tr-TR"/>
        </w:rPr>
        <w:t xml:space="preserve">çevrim içi </w:t>
      </w:r>
      <w:r w:rsidR="00013BD2">
        <w:rPr>
          <w:rFonts w:eastAsia="Calibri"/>
          <w:lang w:val="tr-TR"/>
        </w:rPr>
        <w:t>“</w:t>
      </w:r>
      <w:r w:rsidR="00623851" w:rsidRPr="004B0471">
        <w:rPr>
          <w:rFonts w:eastAsia="Calibri"/>
          <w:lang w:val="tr-TR"/>
        </w:rPr>
        <w:t>ERC Bilinmeyenler Günü</w:t>
      </w:r>
      <w:r w:rsidR="00013BD2">
        <w:rPr>
          <w:rFonts w:eastAsia="Calibri"/>
          <w:lang w:val="tr-TR"/>
        </w:rPr>
        <w:t>”</w:t>
      </w:r>
      <w:r w:rsidR="00623851" w:rsidRPr="004B0471">
        <w:rPr>
          <w:rFonts w:eastAsia="Calibri"/>
          <w:lang w:val="tr-TR"/>
        </w:rPr>
        <w:t xml:space="preserve"> düzenlenmiştir.</w:t>
      </w:r>
    </w:p>
    <w:p w14:paraId="35FD404A" w14:textId="14071C8E" w:rsidR="00455374" w:rsidRPr="004B0471" w:rsidRDefault="00455374" w:rsidP="00166571">
      <w:pPr>
        <w:pStyle w:val="ListeParagraf"/>
        <w:numPr>
          <w:ilvl w:val="0"/>
          <w:numId w:val="13"/>
        </w:numPr>
        <w:spacing w:after="120"/>
        <w:jc w:val="both"/>
        <w:rPr>
          <w:rFonts w:eastAsia="Calibri"/>
          <w:lang w:val="tr-TR"/>
        </w:rPr>
      </w:pPr>
      <w:r w:rsidRPr="004B0471">
        <w:rPr>
          <w:rFonts w:eastAsia="Calibri"/>
          <w:lang w:val="tr-TR"/>
        </w:rPr>
        <w:t xml:space="preserve">11 Kasım 2025 </w:t>
      </w:r>
      <w:r w:rsidR="007C73C3" w:rsidRPr="004B0471">
        <w:rPr>
          <w:rFonts w:eastAsia="Calibri"/>
          <w:lang w:val="tr-TR"/>
        </w:rPr>
        <w:t xml:space="preserve">Salı günü </w:t>
      </w:r>
      <w:r w:rsidRPr="004B0471">
        <w:rPr>
          <w:rFonts w:eastAsia="Calibri"/>
          <w:lang w:val="tr-TR"/>
        </w:rPr>
        <w:t xml:space="preserve">Araştırmalar Koordinatörlüğü tarafından yürütülen Ufuk Avrupa MSCA-COFUND destekli ENRICH-TOGETHER projesinin başlangıç etkinliği kapsamında </w:t>
      </w:r>
      <w:r w:rsidR="00013BD2">
        <w:rPr>
          <w:rFonts w:eastAsia="Calibri"/>
          <w:lang w:val="tr-TR"/>
        </w:rPr>
        <w:t>hem proje kapsamında istihdam edilen hem de ODTÜ bünyesindeki diğer doktora sonrası araştırmacılara yönelik</w:t>
      </w:r>
      <w:r w:rsidR="001E319A">
        <w:rPr>
          <w:rFonts w:eastAsia="Calibri"/>
          <w:lang w:val="tr-TR"/>
        </w:rPr>
        <w:t>,</w:t>
      </w:r>
      <w:r w:rsidR="00013BD2">
        <w:rPr>
          <w:rFonts w:eastAsia="Calibri"/>
          <w:lang w:val="tr-TR"/>
        </w:rPr>
        <w:t xml:space="preserve"> </w:t>
      </w:r>
      <w:r w:rsidR="001E319A">
        <w:rPr>
          <w:rFonts w:eastAsia="Calibri"/>
          <w:lang w:val="tr-TR"/>
        </w:rPr>
        <w:t xml:space="preserve">50’den fazla kişinin katılımıyla, fiziksel </w:t>
      </w:r>
      <w:r w:rsidRPr="004B0471">
        <w:rPr>
          <w:rFonts w:eastAsia="Calibri"/>
          <w:lang w:val="tr-TR"/>
        </w:rPr>
        <w:t>“AB’nin Araştırma Fon İmkanları Eğitimi” gerçekleştirilmiştir.</w:t>
      </w:r>
    </w:p>
    <w:bookmarkEnd w:id="2"/>
    <w:p w14:paraId="10E4376D" w14:textId="685F9178" w:rsidR="00304056" w:rsidRPr="004B0471" w:rsidRDefault="00554669" w:rsidP="00554669">
      <w:pPr>
        <w:pStyle w:val="ListeParagraf"/>
        <w:numPr>
          <w:ilvl w:val="0"/>
          <w:numId w:val="13"/>
        </w:numPr>
        <w:spacing w:after="120"/>
        <w:jc w:val="both"/>
        <w:rPr>
          <w:rFonts w:eastAsia="Calibri"/>
          <w:lang w:val="tr-TR"/>
        </w:rPr>
      </w:pPr>
      <w:r w:rsidRPr="004B0471">
        <w:rPr>
          <w:rFonts w:eastAsia="Calibri"/>
          <w:lang w:val="tr-TR"/>
        </w:rPr>
        <w:t xml:space="preserve">Lisans </w:t>
      </w:r>
      <w:r w:rsidR="00304056" w:rsidRPr="004B0471">
        <w:rPr>
          <w:rFonts w:eastAsia="Calibri"/>
          <w:lang w:val="tr-TR"/>
        </w:rPr>
        <w:t xml:space="preserve">ve lisans üstü </w:t>
      </w:r>
      <w:r w:rsidRPr="004B0471">
        <w:rPr>
          <w:rFonts w:eastAsia="Calibri"/>
          <w:lang w:val="tr-TR"/>
        </w:rPr>
        <w:t xml:space="preserve">öğrencilerinde proje farkındalığı oluşturmak amacıyla lisans </w:t>
      </w:r>
      <w:r w:rsidR="00304056" w:rsidRPr="004B0471">
        <w:rPr>
          <w:rFonts w:eastAsia="Calibri"/>
          <w:lang w:val="tr-TR"/>
        </w:rPr>
        <w:t xml:space="preserve">ve lisans üstü </w:t>
      </w:r>
      <w:r w:rsidR="002D5DB0">
        <w:rPr>
          <w:rFonts w:eastAsia="Calibri"/>
          <w:lang w:val="tr-TR"/>
        </w:rPr>
        <w:t xml:space="preserve">öğrencilerine yönelik </w:t>
      </w:r>
      <w:r w:rsidRPr="004B0471">
        <w:rPr>
          <w:rFonts w:eastAsia="Calibri"/>
          <w:lang w:val="tr-TR"/>
        </w:rPr>
        <w:t>araştırma</w:t>
      </w:r>
      <w:r w:rsidR="002D5DB0">
        <w:rPr>
          <w:rFonts w:eastAsia="Calibri"/>
          <w:lang w:val="tr-TR"/>
        </w:rPr>
        <w:t xml:space="preserve"> ve burs imkanlarına </w:t>
      </w:r>
      <w:r w:rsidRPr="004B0471">
        <w:rPr>
          <w:rFonts w:eastAsia="Calibri"/>
          <w:lang w:val="tr-TR"/>
        </w:rPr>
        <w:t>dair tanıtımlar ve proje yazma eğitimleri yürütülmüştür.</w:t>
      </w:r>
    </w:p>
    <w:p w14:paraId="331B447A" w14:textId="306B5A3E" w:rsidR="00A92C04" w:rsidRPr="004B0471" w:rsidRDefault="000F23CE" w:rsidP="00A92C04">
      <w:pPr>
        <w:pStyle w:val="ListeParagraf"/>
        <w:numPr>
          <w:ilvl w:val="1"/>
          <w:numId w:val="13"/>
        </w:numPr>
        <w:spacing w:after="120"/>
        <w:jc w:val="both"/>
        <w:rPr>
          <w:rFonts w:eastAsia="Calibri"/>
          <w:lang w:val="tr-TR"/>
        </w:rPr>
      </w:pPr>
      <w:r>
        <w:rPr>
          <w:rFonts w:eastAsia="Calibri"/>
          <w:lang w:val="tr-TR"/>
        </w:rPr>
        <w:t xml:space="preserve">Proje Destek Ofisi ekibi </w:t>
      </w:r>
      <w:r w:rsidR="00304056" w:rsidRPr="004B0471">
        <w:rPr>
          <w:rFonts w:eastAsia="Calibri"/>
          <w:lang w:val="tr-TR"/>
        </w:rPr>
        <w:t>tarafından y</w:t>
      </w:r>
      <w:r w:rsidR="00554669" w:rsidRPr="004B0471">
        <w:rPr>
          <w:rFonts w:eastAsia="Calibri"/>
          <w:lang w:val="tr-TR"/>
        </w:rPr>
        <w:t>aklaşık 100 lisans öğrencisinin katılımıyla ikisi Adım ODTÜ ile ortaklaşa olmak üzere</w:t>
      </w:r>
      <w:r w:rsidR="00416434">
        <w:rPr>
          <w:rFonts w:eastAsia="Calibri"/>
          <w:lang w:val="tr-TR"/>
        </w:rPr>
        <w:t xml:space="preserve"> 27 Ekim, 4 Kasım ve 14 Kasım tarihlerinde</w:t>
      </w:r>
      <w:r w:rsidR="00554669" w:rsidRPr="004B0471">
        <w:rPr>
          <w:rFonts w:eastAsia="Calibri"/>
          <w:lang w:val="tr-TR"/>
        </w:rPr>
        <w:t xml:space="preserve"> toplam üç adet </w:t>
      </w:r>
      <w:r w:rsidR="004B51C9">
        <w:rPr>
          <w:rFonts w:eastAsia="Calibri"/>
          <w:lang w:val="tr-TR"/>
        </w:rPr>
        <w:t>fiziksel “</w:t>
      </w:r>
      <w:r w:rsidR="00554669" w:rsidRPr="00416434">
        <w:rPr>
          <w:rFonts w:eastAsia="Calibri"/>
          <w:lang w:val="tr-TR"/>
        </w:rPr>
        <w:t>TÜBİTAK BİDEB 2209 Proje Yazma Eğitimi</w:t>
      </w:r>
      <w:r w:rsidR="004B51C9" w:rsidRPr="00416434">
        <w:rPr>
          <w:rFonts w:eastAsia="Calibri"/>
          <w:lang w:val="tr-TR"/>
        </w:rPr>
        <w:t>”</w:t>
      </w:r>
      <w:r w:rsidR="00554669" w:rsidRPr="00416434">
        <w:rPr>
          <w:rFonts w:eastAsia="Calibri"/>
          <w:lang w:val="tr-TR"/>
        </w:rPr>
        <w:t xml:space="preserve"> düzenlenmiştir.</w:t>
      </w:r>
    </w:p>
    <w:p w14:paraId="1791BC54" w14:textId="67A1FAF9" w:rsidR="00A92C04" w:rsidRPr="004B0471" w:rsidRDefault="00CE6FF2" w:rsidP="00A92C04">
      <w:pPr>
        <w:pStyle w:val="ListeParagraf"/>
        <w:numPr>
          <w:ilvl w:val="1"/>
          <w:numId w:val="13"/>
        </w:numPr>
        <w:spacing w:after="120"/>
        <w:jc w:val="both"/>
        <w:rPr>
          <w:rFonts w:eastAsia="Calibri"/>
          <w:lang w:val="tr-TR"/>
        </w:rPr>
      </w:pPr>
      <w:r w:rsidRPr="004B0471">
        <w:rPr>
          <w:rFonts w:eastAsia="Calibri"/>
          <w:lang w:val="tr-TR"/>
        </w:rPr>
        <w:t>29-30 Kasım 2025 Cumartesi-Pazar günleri</w:t>
      </w:r>
      <w:r w:rsidR="00623851" w:rsidRPr="004B0471">
        <w:rPr>
          <w:rFonts w:eastAsia="Calibri"/>
          <w:lang w:val="tr-TR"/>
        </w:rPr>
        <w:t xml:space="preserve"> Proje Geliştirme Ofisi </w:t>
      </w:r>
      <w:r w:rsidR="00952900" w:rsidRPr="004B0471">
        <w:rPr>
          <w:rFonts w:eastAsia="Calibri"/>
          <w:lang w:val="tr-TR"/>
        </w:rPr>
        <w:t xml:space="preserve">ekibi </w:t>
      </w:r>
      <w:r w:rsidR="00623851" w:rsidRPr="004B0471">
        <w:rPr>
          <w:rFonts w:eastAsia="Calibri"/>
          <w:lang w:val="tr-TR"/>
        </w:rPr>
        <w:t xml:space="preserve">tarafından </w:t>
      </w:r>
      <w:r w:rsidRPr="004B0471">
        <w:rPr>
          <w:rFonts w:eastAsia="Calibri"/>
          <w:lang w:val="tr-TR"/>
        </w:rPr>
        <w:t>ODTÜ İklim Merkezi’nin deste</w:t>
      </w:r>
      <w:r w:rsidR="002365A9" w:rsidRPr="004B0471">
        <w:rPr>
          <w:rFonts w:eastAsia="Calibri"/>
          <w:lang w:val="tr-TR"/>
        </w:rPr>
        <w:t xml:space="preserve">ğiyle </w:t>
      </w:r>
      <w:r w:rsidR="008149D5" w:rsidRPr="004B0471">
        <w:rPr>
          <w:rFonts w:eastAsia="Calibri"/>
          <w:lang w:val="tr-TR"/>
        </w:rPr>
        <w:t>İklim Elçileri</w:t>
      </w:r>
      <w:r w:rsidRPr="004B0471">
        <w:rPr>
          <w:rFonts w:eastAsia="Calibri"/>
          <w:lang w:val="tr-TR"/>
        </w:rPr>
        <w:t xml:space="preserve">, İklim Gönüllüleri ve İŞKUR </w:t>
      </w:r>
      <w:r w:rsidRPr="004B0471">
        <w:rPr>
          <w:rFonts w:eastAsia="Calibri"/>
          <w:lang w:val="tr-TR"/>
        </w:rPr>
        <w:lastRenderedPageBreak/>
        <w:t xml:space="preserve">çalışanlarından toplam 25 öğrencimize </w:t>
      </w:r>
      <w:r w:rsidR="004B51C9">
        <w:rPr>
          <w:rFonts w:eastAsia="Calibri"/>
          <w:lang w:val="tr-TR"/>
        </w:rPr>
        <w:t xml:space="preserve">genel </w:t>
      </w:r>
      <w:r w:rsidR="008149D5" w:rsidRPr="004B0471">
        <w:rPr>
          <w:rFonts w:eastAsia="Calibri"/>
          <w:lang w:val="tr-TR"/>
        </w:rPr>
        <w:t>proje yazma eğitim</w:t>
      </w:r>
      <w:r w:rsidRPr="004B0471">
        <w:rPr>
          <w:rFonts w:eastAsia="Calibri"/>
          <w:lang w:val="tr-TR"/>
        </w:rPr>
        <w:t xml:space="preserve">i verilmiştir. </w:t>
      </w:r>
      <w:r w:rsidR="00623851" w:rsidRPr="004B0471">
        <w:rPr>
          <w:rFonts w:eastAsia="Calibri"/>
          <w:lang w:val="tr-TR"/>
        </w:rPr>
        <w:t xml:space="preserve">29 Kasım tarihinde bir tam günlük çevrim içi </w:t>
      </w:r>
      <w:r w:rsidR="008149D5" w:rsidRPr="004B0471">
        <w:rPr>
          <w:rFonts w:eastAsia="Calibri"/>
          <w:lang w:val="tr-TR"/>
        </w:rPr>
        <w:t xml:space="preserve">ve </w:t>
      </w:r>
      <w:r w:rsidR="00623851" w:rsidRPr="004B0471">
        <w:rPr>
          <w:rFonts w:eastAsia="Calibri"/>
          <w:lang w:val="tr-TR"/>
        </w:rPr>
        <w:t xml:space="preserve">30 Kasım tarihinde yarım günlük yüz yüze </w:t>
      </w:r>
      <w:r w:rsidR="008149D5" w:rsidRPr="004B0471">
        <w:rPr>
          <w:rFonts w:eastAsia="Calibri"/>
          <w:lang w:val="tr-TR"/>
        </w:rPr>
        <w:t>oturumlar</w:t>
      </w:r>
      <w:r w:rsidRPr="004B0471">
        <w:rPr>
          <w:rFonts w:eastAsia="Calibri"/>
          <w:lang w:val="tr-TR"/>
        </w:rPr>
        <w:t xml:space="preserve"> aracılığıyla </w:t>
      </w:r>
      <w:r w:rsidR="008149D5" w:rsidRPr="004B0471">
        <w:rPr>
          <w:rFonts w:eastAsia="Calibri"/>
          <w:lang w:val="tr-TR"/>
        </w:rPr>
        <w:t xml:space="preserve">proje </w:t>
      </w:r>
      <w:r w:rsidR="002365A9" w:rsidRPr="004B0471">
        <w:rPr>
          <w:rFonts w:eastAsia="Calibri"/>
          <w:lang w:val="tr-TR"/>
        </w:rPr>
        <w:t xml:space="preserve">geliştirmenin ve </w:t>
      </w:r>
      <w:r w:rsidR="008149D5" w:rsidRPr="004B0471">
        <w:rPr>
          <w:rFonts w:eastAsia="Calibri"/>
          <w:lang w:val="tr-TR"/>
        </w:rPr>
        <w:t>yazımının temel</w:t>
      </w:r>
      <w:r w:rsidR="002365A9" w:rsidRPr="004B0471">
        <w:rPr>
          <w:rFonts w:eastAsia="Calibri"/>
          <w:lang w:val="tr-TR"/>
        </w:rPr>
        <w:t xml:space="preserve">leri </w:t>
      </w:r>
      <w:r w:rsidR="008149D5" w:rsidRPr="004B0471">
        <w:rPr>
          <w:rFonts w:eastAsia="Calibri"/>
          <w:lang w:val="tr-TR"/>
        </w:rPr>
        <w:t>ele alınmış</w:t>
      </w:r>
      <w:r w:rsidR="002365A9" w:rsidRPr="004B0471">
        <w:rPr>
          <w:rFonts w:eastAsia="Calibri"/>
          <w:lang w:val="tr-TR"/>
        </w:rPr>
        <w:t xml:space="preserve"> </w:t>
      </w:r>
      <w:r w:rsidR="00DB7B8E">
        <w:rPr>
          <w:rFonts w:eastAsia="Calibri"/>
          <w:lang w:val="tr-TR"/>
        </w:rPr>
        <w:t xml:space="preserve">ve </w:t>
      </w:r>
      <w:r w:rsidR="008149D5" w:rsidRPr="004B0471">
        <w:rPr>
          <w:rFonts w:eastAsia="Calibri"/>
          <w:lang w:val="tr-TR"/>
        </w:rPr>
        <w:t>katılımcıların kendi proje fikirleri üzerinden uygulamalı çalışmalar yap</w:t>
      </w:r>
      <w:r w:rsidR="002E0319" w:rsidRPr="004B0471">
        <w:rPr>
          <w:rFonts w:eastAsia="Calibri"/>
          <w:lang w:val="tr-TR"/>
        </w:rPr>
        <w:t xml:space="preserve">malarına </w:t>
      </w:r>
      <w:r w:rsidR="00A47782" w:rsidRPr="004B0471">
        <w:rPr>
          <w:rFonts w:eastAsia="Calibri"/>
          <w:lang w:val="tr-TR"/>
        </w:rPr>
        <w:t>imkân</w:t>
      </w:r>
      <w:r w:rsidR="002E0319" w:rsidRPr="004B0471">
        <w:rPr>
          <w:rFonts w:eastAsia="Calibri"/>
          <w:lang w:val="tr-TR"/>
        </w:rPr>
        <w:t xml:space="preserve"> sağlanmıştır</w:t>
      </w:r>
      <w:r w:rsidR="008149D5" w:rsidRPr="004B0471">
        <w:rPr>
          <w:rFonts w:eastAsia="Calibri"/>
          <w:lang w:val="tr-TR"/>
        </w:rPr>
        <w:t>.</w:t>
      </w:r>
    </w:p>
    <w:p w14:paraId="7F4AB1FA" w14:textId="287A0C3F" w:rsidR="001C58D0" w:rsidRDefault="002E0319" w:rsidP="00A92C04">
      <w:pPr>
        <w:pStyle w:val="ListeParagraf"/>
        <w:numPr>
          <w:ilvl w:val="1"/>
          <w:numId w:val="13"/>
        </w:numPr>
        <w:spacing w:after="120"/>
        <w:jc w:val="both"/>
        <w:rPr>
          <w:rFonts w:eastAsia="Calibri"/>
          <w:lang w:val="tr-TR"/>
        </w:rPr>
      </w:pPr>
      <w:r w:rsidRPr="004B0471">
        <w:rPr>
          <w:rFonts w:eastAsia="Calibri"/>
          <w:lang w:val="tr-TR"/>
        </w:rPr>
        <w:t xml:space="preserve">3 Aralık 2025 Çarşamba günü </w:t>
      </w:r>
      <w:r w:rsidR="00623851" w:rsidRPr="004B0471">
        <w:rPr>
          <w:rFonts w:eastAsia="Calibri"/>
          <w:lang w:val="tr-TR"/>
        </w:rPr>
        <w:t xml:space="preserve">Proje Geliştirme Ofisi </w:t>
      </w:r>
      <w:r w:rsidR="00952900" w:rsidRPr="004B0471">
        <w:rPr>
          <w:rFonts w:eastAsia="Calibri"/>
          <w:lang w:val="tr-TR"/>
        </w:rPr>
        <w:t xml:space="preserve">ekibi </w:t>
      </w:r>
      <w:r w:rsidR="00623851" w:rsidRPr="004B0471">
        <w:rPr>
          <w:rFonts w:eastAsia="Calibri"/>
          <w:lang w:val="tr-TR"/>
        </w:rPr>
        <w:t xml:space="preserve">tarafından </w:t>
      </w:r>
      <w:r w:rsidRPr="004B0471">
        <w:rPr>
          <w:rFonts w:eastAsia="Calibri"/>
          <w:lang w:val="tr-TR"/>
        </w:rPr>
        <w:t xml:space="preserve">BIOL 441 kodlu </w:t>
      </w:r>
      <w:r w:rsidR="008149D5" w:rsidRPr="004B0471">
        <w:rPr>
          <w:rFonts w:eastAsia="Calibri"/>
          <w:lang w:val="tr-TR"/>
        </w:rPr>
        <w:t xml:space="preserve">Biyogirişimcilik dersi kapsamında </w:t>
      </w:r>
      <w:r w:rsidRPr="004B0471">
        <w:rPr>
          <w:rFonts w:eastAsia="Calibri"/>
          <w:lang w:val="tr-TR"/>
        </w:rPr>
        <w:t xml:space="preserve">lisans öğrencilerine yönelik </w:t>
      </w:r>
      <w:r w:rsidR="008149D5" w:rsidRPr="004B0471">
        <w:rPr>
          <w:rFonts w:eastAsia="Calibri"/>
          <w:lang w:val="tr-TR"/>
        </w:rPr>
        <w:t xml:space="preserve">uygun </w:t>
      </w:r>
      <w:r w:rsidRPr="004B0471">
        <w:rPr>
          <w:rFonts w:eastAsia="Calibri"/>
          <w:lang w:val="tr-TR"/>
        </w:rPr>
        <w:t xml:space="preserve">burs ve </w:t>
      </w:r>
      <w:r w:rsidR="00CF478A">
        <w:rPr>
          <w:rFonts w:eastAsia="Calibri"/>
          <w:lang w:val="tr-TR"/>
        </w:rPr>
        <w:t xml:space="preserve">araştırma </w:t>
      </w:r>
      <w:r w:rsidRPr="004B0471">
        <w:rPr>
          <w:rFonts w:eastAsia="Calibri"/>
          <w:lang w:val="tr-TR"/>
        </w:rPr>
        <w:t>proje</w:t>
      </w:r>
      <w:r w:rsidR="00CF478A">
        <w:rPr>
          <w:rFonts w:eastAsia="Calibri"/>
          <w:lang w:val="tr-TR"/>
        </w:rPr>
        <w:t>si</w:t>
      </w:r>
      <w:r w:rsidRPr="004B0471">
        <w:rPr>
          <w:rFonts w:eastAsia="Calibri"/>
          <w:lang w:val="tr-TR"/>
        </w:rPr>
        <w:t xml:space="preserve"> imkanlarına </w:t>
      </w:r>
      <w:r w:rsidR="008149D5" w:rsidRPr="004B0471">
        <w:rPr>
          <w:rFonts w:eastAsia="Calibri"/>
          <w:lang w:val="tr-TR"/>
        </w:rPr>
        <w:t xml:space="preserve">ilişkin bilgilendirme </w:t>
      </w:r>
      <w:r w:rsidRPr="004B0471">
        <w:rPr>
          <w:rFonts w:eastAsia="Calibri"/>
          <w:lang w:val="tr-TR"/>
        </w:rPr>
        <w:t xml:space="preserve">sunumu </w:t>
      </w:r>
      <w:r w:rsidR="001C58D0">
        <w:rPr>
          <w:rFonts w:eastAsia="Calibri"/>
          <w:lang w:val="tr-TR"/>
        </w:rPr>
        <w:t xml:space="preserve">fiziksel olarak </w:t>
      </w:r>
      <w:r w:rsidR="008149D5" w:rsidRPr="004B0471">
        <w:rPr>
          <w:rFonts w:eastAsia="Calibri"/>
          <w:lang w:val="tr-TR"/>
        </w:rPr>
        <w:t>gerçekleştiril</w:t>
      </w:r>
      <w:r w:rsidR="001C58D0">
        <w:rPr>
          <w:rFonts w:eastAsia="Calibri"/>
          <w:lang w:val="tr-TR"/>
        </w:rPr>
        <w:t>miştir.</w:t>
      </w:r>
    </w:p>
    <w:p w14:paraId="774F700D" w14:textId="607B95F1" w:rsidR="00CE6FF2" w:rsidRPr="001C58D0" w:rsidRDefault="001C58D0" w:rsidP="001C58D0">
      <w:pPr>
        <w:pStyle w:val="ListeParagraf"/>
        <w:spacing w:after="120"/>
        <w:ind w:left="1080"/>
        <w:jc w:val="both"/>
        <w:rPr>
          <w:rFonts w:eastAsia="Calibri"/>
          <w:lang w:val="tr-TR"/>
        </w:rPr>
      </w:pPr>
      <w:r>
        <w:rPr>
          <w:rFonts w:eastAsia="Calibri"/>
          <w:lang w:val="tr-TR"/>
        </w:rPr>
        <w:t xml:space="preserve">Böylelikle </w:t>
      </w:r>
      <w:r w:rsidR="008149D5" w:rsidRPr="001C58D0">
        <w:rPr>
          <w:rFonts w:eastAsia="Calibri"/>
          <w:lang w:val="tr-TR"/>
        </w:rPr>
        <w:t>öğrencilerin lisans düzeyinden itibaren proje farkındalığıyla yetişmesi</w:t>
      </w:r>
      <w:r w:rsidR="00D43CB2" w:rsidRPr="001C58D0">
        <w:rPr>
          <w:rFonts w:eastAsia="Calibri"/>
          <w:lang w:val="tr-TR"/>
        </w:rPr>
        <w:t xml:space="preserve">ne </w:t>
      </w:r>
      <w:r w:rsidR="008149D5" w:rsidRPr="001C58D0">
        <w:rPr>
          <w:rFonts w:eastAsia="Calibri"/>
          <w:lang w:val="tr-TR"/>
        </w:rPr>
        <w:t>ve üniversitenin uzun vadeli proje yazma kapasitesinin güçlendirilmesine katkı sağlanması hedeflenmiştir.</w:t>
      </w:r>
      <w:r w:rsidR="002214D1" w:rsidRPr="001C58D0">
        <w:rPr>
          <w:rFonts w:eastAsia="Calibri"/>
          <w:lang w:val="tr-TR"/>
        </w:rPr>
        <w:t xml:space="preserve"> </w:t>
      </w:r>
    </w:p>
    <w:p w14:paraId="066F71DF" w14:textId="180C5922" w:rsidR="002D2BA3" w:rsidRPr="004B0471" w:rsidRDefault="002D2BA3" w:rsidP="005B5114">
      <w:pPr>
        <w:spacing w:after="120"/>
        <w:ind w:left="360"/>
        <w:jc w:val="both"/>
        <w:rPr>
          <w:rFonts w:eastAsia="Calibri"/>
        </w:rPr>
      </w:pPr>
      <w:r w:rsidRPr="004B0471">
        <w:rPr>
          <w:rFonts w:eastAsia="Calibri"/>
        </w:rPr>
        <w:t xml:space="preserve">ODTÜ Araştırmalar Koordinatörlüğü tarafından düzenlenen etkinliklerin yanı sıra, kurum içi başka birimler veya başka kurumlar tarafından düzenlenen etkinliklerin </w:t>
      </w:r>
      <w:r w:rsidR="00851D1E">
        <w:rPr>
          <w:rFonts w:eastAsia="Calibri"/>
        </w:rPr>
        <w:t xml:space="preserve">de </w:t>
      </w:r>
      <w:r w:rsidRPr="004B0471">
        <w:rPr>
          <w:rFonts w:eastAsia="Calibri"/>
        </w:rPr>
        <w:t>duyuruları kurum içinde paylaşılmıştır. Bunlara bazı örnekler:</w:t>
      </w:r>
    </w:p>
    <w:p w14:paraId="39E0E5DC" w14:textId="77777777" w:rsidR="00FC6D75" w:rsidRPr="004B0471" w:rsidRDefault="00FC6D75" w:rsidP="00FC6D75">
      <w:pPr>
        <w:pStyle w:val="ListeParagraf"/>
        <w:numPr>
          <w:ilvl w:val="0"/>
          <w:numId w:val="14"/>
        </w:numPr>
        <w:spacing w:after="120"/>
        <w:jc w:val="both"/>
        <w:rPr>
          <w:rFonts w:eastAsia="Calibri"/>
          <w:lang w:val="tr-TR"/>
        </w:rPr>
      </w:pPr>
      <w:r w:rsidRPr="004B0471">
        <w:rPr>
          <w:shd w:val="clear" w:color="auto" w:fill="FFFFFF"/>
          <w:lang w:val="tr-TR"/>
        </w:rPr>
        <w:t>ODTÜ TEKNOKENT Teknoloji Transfer Ofisi’nin BİGG-LABSOUT duyurusu</w:t>
      </w:r>
    </w:p>
    <w:p w14:paraId="03DEEFA8" w14:textId="77777777" w:rsidR="00FC6D75" w:rsidRDefault="00FC6D75" w:rsidP="00FC6D75">
      <w:pPr>
        <w:pStyle w:val="ListeParagraf"/>
        <w:numPr>
          <w:ilvl w:val="0"/>
          <w:numId w:val="14"/>
        </w:numPr>
        <w:spacing w:after="120"/>
        <w:jc w:val="both"/>
        <w:rPr>
          <w:color w:val="222222"/>
          <w:shd w:val="clear" w:color="auto" w:fill="FFFFFF"/>
          <w:lang w:val="tr-TR"/>
        </w:rPr>
      </w:pPr>
      <w:r w:rsidRPr="004B0471">
        <w:rPr>
          <w:color w:val="222222"/>
          <w:shd w:val="clear" w:color="auto" w:fill="FFFFFF"/>
          <w:lang w:val="tr-TR"/>
        </w:rPr>
        <w:t>ODTÜ Dijital Dönüşüm ve İnovasyon Merkezi (ODTÜ DTX) tarafından düzenlenen Uluslararası Dijital Dönüşüm ve Akıllı Sistemler Konferansı ve Sergisi (</w:t>
      </w:r>
      <w:r w:rsidRPr="004B0471">
        <w:rPr>
          <w:rStyle w:val="il"/>
          <w:color w:val="222222"/>
          <w:shd w:val="clear" w:color="auto" w:fill="FFFFFF"/>
          <w:lang w:val="tr-TR"/>
        </w:rPr>
        <w:t>DTSS</w:t>
      </w:r>
      <w:r w:rsidRPr="004B0471">
        <w:rPr>
          <w:color w:val="222222"/>
          <w:shd w:val="clear" w:color="auto" w:fill="FFFFFF"/>
          <w:lang w:val="tr-TR"/>
        </w:rPr>
        <w:t xml:space="preserve">) ile projenin Kapanış Töreni ve Endüstri Günü etkinliği duyuruları </w:t>
      </w:r>
    </w:p>
    <w:p w14:paraId="7048939C" w14:textId="4274844D" w:rsidR="00F4266B" w:rsidRPr="004B0471" w:rsidRDefault="00FC6D75" w:rsidP="00F4266B">
      <w:pPr>
        <w:pStyle w:val="ListeParagraf"/>
        <w:numPr>
          <w:ilvl w:val="0"/>
          <w:numId w:val="14"/>
        </w:numPr>
        <w:spacing w:after="120"/>
        <w:jc w:val="both"/>
        <w:rPr>
          <w:rFonts w:eastAsia="Calibri"/>
          <w:lang w:val="tr-TR"/>
        </w:rPr>
      </w:pPr>
      <w:r w:rsidRPr="004B0471">
        <w:rPr>
          <w:color w:val="222222"/>
          <w:shd w:val="clear" w:color="auto" w:fill="FFFFFF"/>
          <w:lang w:val="tr-TR"/>
        </w:rPr>
        <w:t>TÜBİTAK</w:t>
      </w:r>
      <w:r w:rsidR="006B1928" w:rsidRPr="004B0471">
        <w:rPr>
          <w:color w:val="222222"/>
          <w:shd w:val="clear" w:color="auto" w:fill="FFFFFF"/>
          <w:lang w:val="tr-TR"/>
        </w:rPr>
        <w:t xml:space="preserve"> </w:t>
      </w:r>
      <w:r w:rsidR="002D2BA3" w:rsidRPr="004B0471">
        <w:rPr>
          <w:shd w:val="clear" w:color="auto" w:fill="FFFFFF"/>
          <w:lang w:val="tr-TR"/>
        </w:rPr>
        <w:t xml:space="preserve">Etkinlikleri: ör. </w:t>
      </w:r>
      <w:r w:rsidR="00855DD9" w:rsidRPr="004B0471">
        <w:rPr>
          <w:rFonts w:eastAsia="Calibri"/>
          <w:lang w:val="tr-TR"/>
        </w:rPr>
        <w:t xml:space="preserve">Bilkent Üniversitesi Teknoloji Transfer Ofisi iş birliğiyle düzenlenen “ERC Bilgi Günü”; </w:t>
      </w:r>
      <w:r w:rsidR="00855DD9" w:rsidRPr="004B0471">
        <w:rPr>
          <w:rStyle w:val="il"/>
          <w:color w:val="1F1F1F"/>
          <w:shd w:val="clear" w:color="auto" w:fill="FFFFFF"/>
          <w:lang w:val="tr-TR"/>
        </w:rPr>
        <w:t>MSCA</w:t>
      </w:r>
      <w:r w:rsidR="00855DD9" w:rsidRPr="004B0471">
        <w:rPr>
          <w:color w:val="1F1F1F"/>
          <w:shd w:val="clear" w:color="auto" w:fill="FFFFFF"/>
          <w:lang w:val="tr-TR"/>
        </w:rPr>
        <w:t> 2025 Çağrıları Konferansı</w:t>
      </w:r>
      <w:r w:rsidR="00FE1B0F" w:rsidRPr="00FE1B0F">
        <w:rPr>
          <w:color w:val="1F1F1F"/>
          <w:shd w:val="clear" w:color="auto" w:fill="FFFFFF"/>
          <w:vertAlign w:val="superscript"/>
          <w:lang w:val="tr-TR"/>
        </w:rPr>
        <w:t>*</w:t>
      </w:r>
      <w:r w:rsidR="00855DD9" w:rsidRPr="004B0471">
        <w:rPr>
          <w:color w:val="1F1F1F"/>
          <w:shd w:val="clear" w:color="auto" w:fill="FFFFFF"/>
          <w:lang w:val="tr-TR"/>
        </w:rPr>
        <w:t xml:space="preserve">; </w:t>
      </w:r>
      <w:r w:rsidR="00855DD9" w:rsidRPr="004B0471">
        <w:rPr>
          <w:rFonts w:eastAsia="Calibri"/>
          <w:lang w:val="tr-TR"/>
        </w:rPr>
        <w:t xml:space="preserve">2026 Çağrılarına Özel </w:t>
      </w:r>
      <w:r w:rsidR="00855DD9" w:rsidRPr="004B0471">
        <w:rPr>
          <w:color w:val="1F1F1F"/>
          <w:shd w:val="clear" w:color="auto" w:fill="FFFFFF"/>
          <w:lang w:val="tr-TR"/>
        </w:rPr>
        <w:t>TÜBİTAK E</w:t>
      </w:r>
      <w:r w:rsidR="00855DD9" w:rsidRPr="004B0471">
        <w:rPr>
          <w:rStyle w:val="il"/>
          <w:color w:val="1F1F1F"/>
          <w:shd w:val="clear" w:color="auto" w:fill="FFFFFF"/>
          <w:lang w:val="tr-TR"/>
        </w:rPr>
        <w:t>RC </w:t>
      </w:r>
      <w:r w:rsidR="00855DD9" w:rsidRPr="004B0471">
        <w:rPr>
          <w:color w:val="1F1F1F"/>
          <w:shd w:val="clear" w:color="auto" w:fill="FFFFFF"/>
          <w:lang w:val="tr-TR"/>
        </w:rPr>
        <w:t>Ulusal Bilgi Günü</w:t>
      </w:r>
      <w:r w:rsidR="00851D1E">
        <w:rPr>
          <w:color w:val="1F1F1F"/>
          <w:shd w:val="clear" w:color="auto" w:fill="FFFFFF"/>
          <w:lang w:val="tr-TR"/>
        </w:rPr>
        <w:t xml:space="preserve"> duyuruları</w:t>
      </w:r>
    </w:p>
    <w:p w14:paraId="123F5502" w14:textId="45A1498C" w:rsidR="006B1928" w:rsidRPr="004B0471" w:rsidRDefault="00FE1B0F" w:rsidP="00FE1B0F">
      <w:pPr>
        <w:pStyle w:val="ListeParagraf"/>
        <w:spacing w:after="120"/>
        <w:ind w:left="1800"/>
        <w:jc w:val="both"/>
        <w:rPr>
          <w:rFonts w:eastAsia="Calibri"/>
          <w:lang w:val="tr-TR"/>
        </w:rPr>
      </w:pPr>
      <w:r w:rsidRPr="00FE1B0F">
        <w:rPr>
          <w:color w:val="222222"/>
          <w:shd w:val="clear" w:color="auto" w:fill="FFFFFF"/>
          <w:vertAlign w:val="superscript"/>
          <w:lang w:val="tr-TR"/>
        </w:rPr>
        <w:t>*</w:t>
      </w:r>
      <w:r w:rsidR="006B1928" w:rsidRPr="004B0471">
        <w:rPr>
          <w:color w:val="222222"/>
          <w:shd w:val="clear" w:color="auto" w:fill="FFFFFF"/>
          <w:lang w:val="tr-TR"/>
        </w:rPr>
        <w:t xml:space="preserve">TÜBİTAK’ın </w:t>
      </w:r>
      <w:r w:rsidR="006B1928" w:rsidRPr="004B0471">
        <w:rPr>
          <w:shd w:val="clear" w:color="auto" w:fill="FFFFFF"/>
          <w:lang w:val="tr-TR"/>
        </w:rPr>
        <w:t xml:space="preserve">düzenlediği </w:t>
      </w:r>
      <w:r w:rsidR="006B1928" w:rsidRPr="004B0471">
        <w:rPr>
          <w:rStyle w:val="il"/>
          <w:color w:val="1F1F1F"/>
          <w:shd w:val="clear" w:color="auto" w:fill="FFFFFF"/>
          <w:lang w:val="tr-TR"/>
        </w:rPr>
        <w:t>MSCA</w:t>
      </w:r>
      <w:r w:rsidR="006B1928" w:rsidRPr="004B0471">
        <w:rPr>
          <w:color w:val="1F1F1F"/>
          <w:shd w:val="clear" w:color="auto" w:fill="FFFFFF"/>
          <w:lang w:val="tr-TR"/>
        </w:rPr>
        <w:t xml:space="preserve"> 2025 Çağrıları Konferansı’nda ODTÜ Araştırmalar Koordinatörlüğü uzmanlarınca 2 sunum gerçekleştirilmiştir. </w:t>
      </w:r>
    </w:p>
    <w:p w14:paraId="3DEF5280" w14:textId="1C0F29C3" w:rsidR="006B1928" w:rsidRPr="004B0471" w:rsidRDefault="001B4800" w:rsidP="005B5114">
      <w:pPr>
        <w:spacing w:after="120"/>
        <w:ind w:left="180"/>
        <w:jc w:val="both"/>
        <w:rPr>
          <w:rFonts w:eastAsia="Calibri"/>
        </w:rPr>
      </w:pPr>
      <w:r>
        <w:rPr>
          <w:rFonts w:eastAsia="Calibri"/>
        </w:rPr>
        <w:t xml:space="preserve">Bu </w:t>
      </w:r>
      <w:r w:rsidR="00AA4B88" w:rsidRPr="004B0471">
        <w:rPr>
          <w:rFonts w:eastAsia="Calibri"/>
        </w:rPr>
        <w:t xml:space="preserve">duyurularda sadece etkinlik bilgisi </w:t>
      </w:r>
      <w:r w:rsidR="00E123D2" w:rsidRPr="004B0471">
        <w:rPr>
          <w:rFonts w:eastAsia="Calibri"/>
        </w:rPr>
        <w:t>değil</w:t>
      </w:r>
      <w:r w:rsidR="00AA4B88" w:rsidRPr="004B0471">
        <w:rPr>
          <w:rFonts w:eastAsia="Calibri"/>
        </w:rPr>
        <w:t xml:space="preserve"> </w:t>
      </w:r>
      <w:r w:rsidR="00397B03">
        <w:rPr>
          <w:rFonts w:eastAsia="Calibri"/>
        </w:rPr>
        <w:t xml:space="preserve">hem kurum içi hem </w:t>
      </w:r>
      <w:r w:rsidR="00E123D2">
        <w:rPr>
          <w:rFonts w:eastAsia="Calibri"/>
        </w:rPr>
        <w:t xml:space="preserve">de </w:t>
      </w:r>
      <w:r w:rsidR="00AA4B88" w:rsidRPr="004B0471">
        <w:rPr>
          <w:rFonts w:eastAsia="Calibri"/>
        </w:rPr>
        <w:t xml:space="preserve">çeşitli </w:t>
      </w:r>
      <w:r w:rsidR="00397B03">
        <w:rPr>
          <w:rFonts w:eastAsia="Calibri"/>
        </w:rPr>
        <w:t xml:space="preserve">diğer </w:t>
      </w:r>
      <w:r w:rsidR="00AA4B88" w:rsidRPr="004B0471">
        <w:rPr>
          <w:rFonts w:eastAsia="Calibri"/>
        </w:rPr>
        <w:t xml:space="preserve">kurumların </w:t>
      </w:r>
      <w:r w:rsidR="00A47782">
        <w:rPr>
          <w:rFonts w:eastAsia="Calibri"/>
        </w:rPr>
        <w:t>Ar-Ge</w:t>
      </w:r>
      <w:r w:rsidR="00AA4B88" w:rsidRPr="004B0471">
        <w:rPr>
          <w:rFonts w:eastAsia="Calibri"/>
        </w:rPr>
        <w:t xml:space="preserve"> projesi çağrıları</w:t>
      </w:r>
      <w:r w:rsidR="0097524F">
        <w:rPr>
          <w:rFonts w:eastAsia="Calibri"/>
        </w:rPr>
        <w:t>, ödül programları ve diğer çalışmaları</w:t>
      </w:r>
      <w:r w:rsidR="00AA4B88" w:rsidRPr="004B0471">
        <w:rPr>
          <w:rFonts w:eastAsia="Calibri"/>
        </w:rPr>
        <w:t xml:space="preserve"> da duyurulmuştur</w:t>
      </w:r>
      <w:r w:rsidR="006B1928" w:rsidRPr="004B0471">
        <w:rPr>
          <w:rFonts w:eastAsia="Calibri"/>
        </w:rPr>
        <w:t>.</w:t>
      </w:r>
      <w:r>
        <w:rPr>
          <w:rFonts w:eastAsia="Calibri"/>
        </w:rPr>
        <w:t xml:space="preserve"> Örneğin: </w:t>
      </w:r>
    </w:p>
    <w:p w14:paraId="4B9642FE" w14:textId="77777777" w:rsidR="00680EBD" w:rsidRPr="004B0471" w:rsidRDefault="00680EBD" w:rsidP="00680EBD">
      <w:pPr>
        <w:pStyle w:val="ListeParagraf"/>
        <w:numPr>
          <w:ilvl w:val="0"/>
          <w:numId w:val="14"/>
        </w:numPr>
        <w:spacing w:after="120"/>
        <w:jc w:val="both"/>
        <w:rPr>
          <w:shd w:val="clear" w:color="auto" w:fill="FFFFFF"/>
          <w:lang w:val="tr-TR"/>
        </w:rPr>
      </w:pPr>
      <w:r w:rsidRPr="004B0471">
        <w:rPr>
          <w:color w:val="222222"/>
          <w:shd w:val="clear" w:color="auto" w:fill="FFFFFF"/>
          <w:lang w:val="tr-TR"/>
        </w:rPr>
        <w:t>2026 Yılı Yatırım Programı kapsamında T.C. Cumhurbaşkanlığı Strateji ve Bütçe Başkanlığı (</w:t>
      </w:r>
      <w:r w:rsidRPr="004B0471">
        <w:rPr>
          <w:rStyle w:val="il"/>
          <w:color w:val="222222"/>
          <w:shd w:val="clear" w:color="auto" w:fill="FFFFFF"/>
          <w:lang w:val="tr-TR"/>
        </w:rPr>
        <w:t>SBB</w:t>
      </w:r>
      <w:r w:rsidRPr="004B0471">
        <w:rPr>
          <w:color w:val="222222"/>
          <w:shd w:val="clear" w:color="auto" w:fill="FFFFFF"/>
          <w:lang w:val="tr-TR"/>
        </w:rPr>
        <w:t xml:space="preserve">) tarafından desteklenecek Teknolojik Altyapı Projeleri için üniversitemiz tarafından ön başvuru çağrısı </w:t>
      </w:r>
    </w:p>
    <w:p w14:paraId="55A487D3" w14:textId="77777777" w:rsidR="00680EBD" w:rsidRPr="004B0471" w:rsidRDefault="00680EBD" w:rsidP="00680EBD">
      <w:pPr>
        <w:pStyle w:val="ListeParagraf"/>
        <w:numPr>
          <w:ilvl w:val="0"/>
          <w:numId w:val="14"/>
        </w:numPr>
        <w:spacing w:after="120"/>
        <w:jc w:val="both"/>
        <w:rPr>
          <w:shd w:val="clear" w:color="auto" w:fill="FFFFFF"/>
          <w:lang w:val="tr-TR"/>
        </w:rPr>
      </w:pPr>
      <w:r w:rsidRPr="004B0471">
        <w:rPr>
          <w:color w:val="000000"/>
          <w:shd w:val="clear" w:color="auto" w:fill="FFFFFF"/>
          <w:lang w:val="tr-TR"/>
        </w:rPr>
        <w:t xml:space="preserve">Ankara Sosyal Bilimler Üniversitesi koordinasyonunda, T.C. Cumhurbaşkanlığı Strateji ve Bütçe Başkanlığı ile Yükseköğretim Kurulu Başkanlığı destekleriyle ve </w:t>
      </w:r>
      <w:r w:rsidRPr="004B0471">
        <w:rPr>
          <w:rFonts w:eastAsia="Calibri"/>
          <w:lang w:val="tr-TR"/>
        </w:rPr>
        <w:t xml:space="preserve">ODTÜ’nün de iş birliği protokolünde yer aldığı Sosyal Araştırma Projeleri (SAYE) Programı çağrısı ve çevrim içi bilgilendirme toplantısı </w:t>
      </w:r>
    </w:p>
    <w:p w14:paraId="66EB8E80" w14:textId="3771B078" w:rsidR="00C179EE" w:rsidRPr="004B0471" w:rsidRDefault="00AA4B88" w:rsidP="006B1928">
      <w:pPr>
        <w:pStyle w:val="ListeParagraf"/>
        <w:numPr>
          <w:ilvl w:val="0"/>
          <w:numId w:val="14"/>
        </w:numPr>
        <w:spacing w:after="120"/>
        <w:jc w:val="both"/>
        <w:rPr>
          <w:shd w:val="clear" w:color="auto" w:fill="FFFFFF"/>
          <w:lang w:val="tr-TR"/>
        </w:rPr>
      </w:pPr>
      <w:r w:rsidRPr="004B0471">
        <w:rPr>
          <w:shd w:val="clear" w:color="auto" w:fill="FFFFFF"/>
          <w:lang w:val="tr-TR"/>
        </w:rPr>
        <w:t xml:space="preserve">TÜBİTAK </w:t>
      </w:r>
      <w:r w:rsidR="00186BF0">
        <w:rPr>
          <w:shd w:val="clear" w:color="auto" w:fill="FFFFFF"/>
          <w:lang w:val="tr-TR"/>
        </w:rPr>
        <w:t xml:space="preserve">Çağrıları: </w:t>
      </w:r>
      <w:r w:rsidRPr="004B0471">
        <w:rPr>
          <w:shd w:val="clear" w:color="auto" w:fill="FFFFFF"/>
          <w:lang w:val="tr-TR"/>
        </w:rPr>
        <w:t>ARDEB 1001, BİDEB 2232</w:t>
      </w:r>
      <w:r w:rsidR="00C179EE" w:rsidRPr="004B0471">
        <w:rPr>
          <w:shd w:val="clear" w:color="auto" w:fill="FFFFFF"/>
          <w:lang w:val="tr-TR"/>
        </w:rPr>
        <w:t xml:space="preserve">, </w:t>
      </w:r>
      <w:r w:rsidR="006B1928" w:rsidRPr="004B0471">
        <w:rPr>
          <w:shd w:val="clear" w:color="auto" w:fill="FFFFFF"/>
          <w:lang w:val="tr-TR"/>
        </w:rPr>
        <w:t>BİDEB 2236</w:t>
      </w:r>
      <w:r w:rsidR="002D6460" w:rsidRPr="004B0471">
        <w:rPr>
          <w:shd w:val="clear" w:color="auto" w:fill="FFFFFF"/>
          <w:lang w:val="tr-TR"/>
        </w:rPr>
        <w:t xml:space="preserve"> </w:t>
      </w:r>
      <w:r w:rsidR="00186BF0">
        <w:rPr>
          <w:shd w:val="clear" w:color="auto" w:fill="FFFFFF"/>
          <w:lang w:val="tr-TR"/>
        </w:rPr>
        <w:t>vb.</w:t>
      </w:r>
    </w:p>
    <w:p w14:paraId="34838C0D" w14:textId="66767A0D" w:rsidR="00C179EE" w:rsidRPr="004B0471" w:rsidRDefault="00C179EE" w:rsidP="002D6460">
      <w:pPr>
        <w:pStyle w:val="ListeParagraf"/>
        <w:numPr>
          <w:ilvl w:val="0"/>
          <w:numId w:val="14"/>
        </w:numPr>
        <w:spacing w:after="120"/>
        <w:jc w:val="both"/>
        <w:rPr>
          <w:shd w:val="clear" w:color="auto" w:fill="FFFFFF"/>
          <w:lang w:val="tr-TR"/>
        </w:rPr>
      </w:pPr>
      <w:r w:rsidRPr="004B0471">
        <w:rPr>
          <w:color w:val="222222"/>
          <w:shd w:val="clear" w:color="auto" w:fill="FFFFFF"/>
          <w:lang w:val="tr-TR"/>
        </w:rPr>
        <w:t>Teknik Üniversiteler Birliği (</w:t>
      </w:r>
      <w:r w:rsidRPr="004B0471">
        <w:rPr>
          <w:rStyle w:val="il"/>
          <w:color w:val="222222"/>
          <w:shd w:val="clear" w:color="auto" w:fill="FFFFFF"/>
          <w:lang w:val="tr-TR"/>
        </w:rPr>
        <w:t>TU11</w:t>
      </w:r>
      <w:r w:rsidRPr="004B0471">
        <w:rPr>
          <w:color w:val="222222"/>
          <w:shd w:val="clear" w:color="auto" w:fill="FFFFFF"/>
          <w:lang w:val="tr-TR"/>
        </w:rPr>
        <w:t>) kapsamında başlatılan </w:t>
      </w:r>
      <w:r w:rsidRPr="004B0471">
        <w:rPr>
          <w:rStyle w:val="il"/>
          <w:color w:val="222222"/>
          <w:shd w:val="clear" w:color="auto" w:fill="FFFFFF"/>
          <w:lang w:val="tr-TR"/>
        </w:rPr>
        <w:t>TU11</w:t>
      </w:r>
      <w:r w:rsidRPr="004B0471">
        <w:rPr>
          <w:color w:val="222222"/>
          <w:shd w:val="clear" w:color="auto" w:fill="FFFFFF"/>
          <w:lang w:val="tr-TR"/>
        </w:rPr>
        <w:t> </w:t>
      </w:r>
      <w:r w:rsidRPr="004B0471">
        <w:rPr>
          <w:rStyle w:val="il"/>
          <w:color w:val="222222"/>
          <w:shd w:val="clear" w:color="auto" w:fill="FFFFFF"/>
          <w:lang w:val="tr-TR"/>
        </w:rPr>
        <w:t>BAP</w:t>
      </w:r>
      <w:r w:rsidRPr="004B0471">
        <w:rPr>
          <w:color w:val="222222"/>
          <w:shd w:val="clear" w:color="auto" w:fill="FFFFFF"/>
          <w:lang w:val="tr-TR"/>
        </w:rPr>
        <w:t> İş Birliği Projeleri</w:t>
      </w:r>
      <w:r w:rsidR="002D6460" w:rsidRPr="004B0471">
        <w:rPr>
          <w:color w:val="222222"/>
          <w:shd w:val="clear" w:color="auto" w:fill="FFFFFF"/>
          <w:lang w:val="tr-TR"/>
        </w:rPr>
        <w:t xml:space="preserve"> çağrısı</w:t>
      </w:r>
    </w:p>
    <w:p w14:paraId="2D23E21B" w14:textId="3B7D3C71" w:rsidR="00952900" w:rsidRPr="004B0471" w:rsidRDefault="00952900" w:rsidP="002D6460">
      <w:pPr>
        <w:pStyle w:val="ListeParagraf"/>
        <w:numPr>
          <w:ilvl w:val="0"/>
          <w:numId w:val="14"/>
        </w:numPr>
        <w:spacing w:after="120"/>
        <w:jc w:val="both"/>
        <w:rPr>
          <w:shd w:val="clear" w:color="auto" w:fill="FFFFFF"/>
          <w:lang w:val="tr-TR"/>
        </w:rPr>
      </w:pPr>
      <w:r w:rsidRPr="004B0471">
        <w:rPr>
          <w:color w:val="222222"/>
          <w:shd w:val="clear" w:color="auto" w:fill="FFFFFF"/>
          <w:lang w:val="tr-TR"/>
        </w:rPr>
        <w:t xml:space="preserve">YÖK </w:t>
      </w:r>
      <w:r w:rsidR="00186BF0">
        <w:rPr>
          <w:color w:val="222222"/>
          <w:shd w:val="clear" w:color="auto" w:fill="FFFFFF"/>
          <w:lang w:val="tr-TR"/>
        </w:rPr>
        <w:t xml:space="preserve">Duyuruları: YÖK </w:t>
      </w:r>
      <w:r w:rsidRPr="004B0471">
        <w:rPr>
          <w:color w:val="222222"/>
          <w:shd w:val="clear" w:color="auto" w:fill="FFFFFF"/>
          <w:lang w:val="tr-TR"/>
        </w:rPr>
        <w:t xml:space="preserve">Üstün Başarı Ödülleri kurumsal adaylık başvuruları </w:t>
      </w:r>
      <w:r w:rsidR="00186BF0">
        <w:rPr>
          <w:color w:val="222222"/>
          <w:shd w:val="clear" w:color="auto" w:fill="FFFFFF"/>
          <w:lang w:val="tr-TR"/>
        </w:rPr>
        <w:t xml:space="preserve">ile </w:t>
      </w:r>
      <w:r w:rsidRPr="004B0471">
        <w:rPr>
          <w:color w:val="222222"/>
          <w:shd w:val="clear" w:color="auto" w:fill="FFFFFF"/>
          <w:lang w:val="tr-TR"/>
        </w:rPr>
        <w:t xml:space="preserve">bireysel başvurular </w:t>
      </w:r>
      <w:r w:rsidR="00186BF0">
        <w:rPr>
          <w:color w:val="222222"/>
          <w:shd w:val="clear" w:color="auto" w:fill="FFFFFF"/>
          <w:lang w:val="tr-TR"/>
        </w:rPr>
        <w:t xml:space="preserve">ve </w:t>
      </w:r>
      <w:r w:rsidRPr="004B0471">
        <w:rPr>
          <w:color w:val="222222"/>
          <w:shd w:val="clear" w:color="auto" w:fill="FFFFFF"/>
          <w:lang w:val="tr-TR"/>
        </w:rPr>
        <w:t>YÖK Uluslararası Araştırma Programları çağrısı</w:t>
      </w:r>
    </w:p>
    <w:p w14:paraId="06EB00F9" w14:textId="51C5A42A" w:rsidR="00CB09AF" w:rsidRPr="004B0471" w:rsidRDefault="00CB09AF" w:rsidP="002D6460">
      <w:pPr>
        <w:pStyle w:val="ListeParagraf"/>
        <w:numPr>
          <w:ilvl w:val="0"/>
          <w:numId w:val="14"/>
        </w:numPr>
        <w:spacing w:after="120"/>
        <w:jc w:val="both"/>
        <w:rPr>
          <w:shd w:val="clear" w:color="auto" w:fill="FFFFFF"/>
          <w:lang w:val="tr-TR"/>
        </w:rPr>
      </w:pPr>
      <w:r w:rsidRPr="004B0471">
        <w:rPr>
          <w:color w:val="222222"/>
          <w:shd w:val="clear" w:color="auto" w:fill="FFFFFF"/>
          <w:lang w:val="tr-TR"/>
        </w:rPr>
        <w:t xml:space="preserve">TÜSEB </w:t>
      </w:r>
      <w:r w:rsidRPr="004B0471">
        <w:rPr>
          <w:color w:val="1F1F1F"/>
          <w:shd w:val="clear" w:color="auto" w:fill="FFFFFF"/>
          <w:lang w:val="tr-TR"/>
        </w:rPr>
        <w:t>Aziz Sancar Bilim, Hizmet ve Teşvik Ödülleri başvuruları</w:t>
      </w:r>
    </w:p>
    <w:p w14:paraId="3F3AD0F2" w14:textId="312BDB71" w:rsidR="00952900" w:rsidRPr="004B0471" w:rsidRDefault="00952900" w:rsidP="002D6460">
      <w:pPr>
        <w:pStyle w:val="ListeParagraf"/>
        <w:numPr>
          <w:ilvl w:val="0"/>
          <w:numId w:val="14"/>
        </w:numPr>
        <w:spacing w:after="120"/>
        <w:jc w:val="both"/>
        <w:rPr>
          <w:shd w:val="clear" w:color="auto" w:fill="FFFFFF"/>
          <w:lang w:val="tr-TR"/>
        </w:rPr>
      </w:pPr>
      <w:r w:rsidRPr="004B0471">
        <w:rPr>
          <w:color w:val="222222"/>
          <w:shd w:val="clear" w:color="auto" w:fill="FFFFFF"/>
          <w:lang w:val="tr-TR"/>
        </w:rPr>
        <w:t xml:space="preserve">Rus Federasyonu </w:t>
      </w:r>
      <w:r w:rsidRPr="004B0471">
        <w:rPr>
          <w:color w:val="1F1F1F"/>
          <w:shd w:val="clear" w:color="auto" w:fill="FFFFFF"/>
          <w:lang w:val="tr-TR"/>
        </w:rPr>
        <w:t>"Keşif" Uluslararası Ödülü başvuruları</w:t>
      </w:r>
    </w:p>
    <w:p w14:paraId="7EC72248" w14:textId="2EC4CC38" w:rsidR="00187CAA" w:rsidRPr="004B0471" w:rsidRDefault="00187CAA" w:rsidP="00C32664">
      <w:pPr>
        <w:pStyle w:val="ListeParagraf"/>
        <w:numPr>
          <w:ilvl w:val="0"/>
          <w:numId w:val="14"/>
        </w:numPr>
        <w:spacing w:after="120"/>
        <w:jc w:val="both"/>
        <w:rPr>
          <w:shd w:val="clear" w:color="auto" w:fill="FFFFFF"/>
          <w:lang w:val="tr-TR"/>
        </w:rPr>
      </w:pPr>
      <w:r w:rsidRPr="004B0471">
        <w:rPr>
          <w:color w:val="1F1F1F"/>
          <w:shd w:val="clear" w:color="auto" w:fill="FFFFFF"/>
          <w:lang w:val="tr-TR"/>
        </w:rPr>
        <w:t>NATO Bilim için Barış ve Güvenlik (</w:t>
      </w:r>
      <w:r w:rsidRPr="004B0471">
        <w:rPr>
          <w:rStyle w:val="il"/>
          <w:color w:val="1F1F1F"/>
          <w:shd w:val="clear" w:color="auto" w:fill="FFFFFF"/>
          <w:lang w:val="tr-TR"/>
        </w:rPr>
        <w:t>SPS</w:t>
      </w:r>
      <w:r w:rsidRPr="004B0471">
        <w:rPr>
          <w:color w:val="1F1F1F"/>
          <w:shd w:val="clear" w:color="auto" w:fill="FFFFFF"/>
          <w:lang w:val="tr-TR"/>
        </w:rPr>
        <w:t>) Programı</w:t>
      </w:r>
      <w:r w:rsidR="00680EBD" w:rsidRPr="004B0471">
        <w:rPr>
          <w:color w:val="1F1F1F"/>
          <w:shd w:val="clear" w:color="auto" w:fill="FFFFFF"/>
          <w:lang w:val="tr-TR"/>
        </w:rPr>
        <w:t xml:space="preserve"> </w:t>
      </w:r>
      <w:r w:rsidRPr="004B0471">
        <w:rPr>
          <w:color w:val="1F1F1F"/>
          <w:shd w:val="clear" w:color="auto" w:fill="FFFFFF"/>
          <w:lang w:val="tr-TR"/>
        </w:rPr>
        <w:t>2025 araştırma proje çağrısı</w:t>
      </w:r>
    </w:p>
    <w:p w14:paraId="45FE691D" w14:textId="04C971FE" w:rsidR="004141DB" w:rsidRDefault="004141DB" w:rsidP="00187CAA">
      <w:pPr>
        <w:pStyle w:val="ListeParagraf"/>
        <w:numPr>
          <w:ilvl w:val="0"/>
          <w:numId w:val="14"/>
        </w:numPr>
        <w:spacing w:after="120"/>
        <w:jc w:val="both"/>
        <w:rPr>
          <w:shd w:val="clear" w:color="auto" w:fill="FFFFFF"/>
          <w:lang w:val="tr-TR"/>
        </w:rPr>
      </w:pPr>
      <w:r w:rsidRPr="004B0471">
        <w:rPr>
          <w:shd w:val="clear" w:color="auto" w:fill="FFFFFF"/>
          <w:lang w:val="tr-TR"/>
        </w:rPr>
        <w:t>Ufuk Avrupa</w:t>
      </w:r>
      <w:r w:rsidR="00187CAA" w:rsidRPr="004B0471">
        <w:rPr>
          <w:shd w:val="clear" w:color="auto" w:fill="FFFFFF"/>
          <w:lang w:val="tr-TR"/>
        </w:rPr>
        <w:t>’nın</w:t>
      </w:r>
      <w:r w:rsidRPr="004B0471">
        <w:rPr>
          <w:shd w:val="clear" w:color="auto" w:fill="FFFFFF"/>
          <w:lang w:val="tr-TR"/>
        </w:rPr>
        <w:t xml:space="preserve"> çalışma programları ve bilgilendirme günleri (</w:t>
      </w:r>
      <w:r w:rsidR="00187CAA" w:rsidRPr="004B0471">
        <w:rPr>
          <w:shd w:val="clear" w:color="auto" w:fill="FFFFFF"/>
          <w:lang w:val="tr-TR"/>
        </w:rPr>
        <w:t xml:space="preserve">ör. </w:t>
      </w:r>
      <w:r w:rsidRPr="004B0471">
        <w:rPr>
          <w:shd w:val="clear" w:color="auto" w:fill="FFFFFF"/>
          <w:lang w:val="tr-TR"/>
        </w:rPr>
        <w:t>EIT-HEI</w:t>
      </w:r>
      <w:r w:rsidR="00187CAA" w:rsidRPr="004B0471">
        <w:rPr>
          <w:shd w:val="clear" w:color="auto" w:fill="FFFFFF"/>
          <w:lang w:val="tr-TR"/>
        </w:rPr>
        <w:t>, Hop-On çağrıları)</w:t>
      </w:r>
    </w:p>
    <w:p w14:paraId="24EF3D53" w14:textId="3206DD8A" w:rsidR="00397B03" w:rsidRPr="004B0471" w:rsidRDefault="006F0E14" w:rsidP="00397B03">
      <w:pPr>
        <w:pStyle w:val="ListeParagraf"/>
        <w:numPr>
          <w:ilvl w:val="0"/>
          <w:numId w:val="14"/>
        </w:numPr>
        <w:spacing w:after="120"/>
        <w:jc w:val="both"/>
        <w:rPr>
          <w:shd w:val="clear" w:color="auto" w:fill="FFFFFF"/>
          <w:lang w:val="tr-TR"/>
        </w:rPr>
      </w:pPr>
      <w:r>
        <w:rPr>
          <w:rFonts w:eastAsia="Calibri"/>
          <w:lang w:val="tr-TR"/>
        </w:rPr>
        <w:lastRenderedPageBreak/>
        <w:t xml:space="preserve">ODTÜ </w:t>
      </w:r>
      <w:r w:rsidR="00397B03" w:rsidRPr="004B0471">
        <w:rPr>
          <w:rFonts w:eastAsia="Calibri"/>
          <w:lang w:val="tr-TR"/>
        </w:rPr>
        <w:t xml:space="preserve">Araştırmalar Koordinatörlüğü tarafından yürütülen Ufuk Avrupa MSCA-COFUND destekli ENRICH-TOGETHER projesinin </w:t>
      </w:r>
      <w:r w:rsidR="00397B03" w:rsidRPr="004B0471">
        <w:rPr>
          <w:color w:val="222222"/>
          <w:shd w:val="clear" w:color="auto" w:fill="FFFFFF"/>
          <w:lang w:val="tr-TR"/>
        </w:rPr>
        <w:t>Yeşil ve Mavi Dönüşüm</w:t>
      </w:r>
      <w:r w:rsidR="00186BF0">
        <w:rPr>
          <w:color w:val="222222"/>
          <w:shd w:val="clear" w:color="auto" w:fill="FFFFFF"/>
          <w:lang w:val="tr-TR"/>
        </w:rPr>
        <w:t xml:space="preserve"> alanında </w:t>
      </w:r>
      <w:r w:rsidR="00397B03" w:rsidRPr="004B0471">
        <w:rPr>
          <w:color w:val="222222"/>
          <w:shd w:val="clear" w:color="auto" w:fill="FFFFFF"/>
          <w:lang w:val="tr-TR"/>
        </w:rPr>
        <w:t>doktora sonrası araştırmacı istihdam etmek üzere açılan 2. çağrısı</w:t>
      </w:r>
    </w:p>
    <w:p w14:paraId="06B9E768" w14:textId="4C6DC668" w:rsidR="00397B03" w:rsidRPr="00397B03" w:rsidRDefault="006F0E14" w:rsidP="00397B03">
      <w:pPr>
        <w:pStyle w:val="ListeParagraf"/>
        <w:numPr>
          <w:ilvl w:val="0"/>
          <w:numId w:val="14"/>
        </w:numPr>
        <w:spacing w:after="120"/>
        <w:jc w:val="both"/>
        <w:rPr>
          <w:shd w:val="clear" w:color="auto" w:fill="FFFFFF"/>
          <w:lang w:val="tr-TR"/>
        </w:rPr>
      </w:pPr>
      <w:r>
        <w:rPr>
          <w:rFonts w:eastAsia="Calibri"/>
          <w:lang w:val="tr-TR"/>
        </w:rPr>
        <w:t xml:space="preserve">ODTÜ </w:t>
      </w:r>
      <w:r w:rsidR="00397B03" w:rsidRPr="004B0471">
        <w:rPr>
          <w:rFonts w:eastAsia="Calibri"/>
          <w:lang w:val="tr-TR"/>
        </w:rPr>
        <w:t xml:space="preserve">Araştırmalar Koordinatörlüğü tarafından sürdürülen </w:t>
      </w:r>
      <w:r w:rsidR="00397B03" w:rsidRPr="004B0471">
        <w:rPr>
          <w:color w:val="333333"/>
          <w:kern w:val="36"/>
          <w:lang w:val="tr-TR"/>
        </w:rPr>
        <w:t>Araştırmacılar için İnsan Kaynakları Stratejisi (HRS4R) eylem planı kapsamındaki anketin duyurusu</w:t>
      </w:r>
    </w:p>
    <w:p w14:paraId="1F630D07" w14:textId="58C2F074" w:rsidR="00645193" w:rsidRPr="00694C38" w:rsidRDefault="002D6460" w:rsidP="004141DB">
      <w:pPr>
        <w:spacing w:after="120"/>
        <w:ind w:left="180"/>
        <w:jc w:val="both"/>
        <w:rPr>
          <w:rFonts w:eastAsia="Calibri"/>
        </w:rPr>
      </w:pPr>
      <w:r w:rsidRPr="00694C38">
        <w:rPr>
          <w:rFonts w:eastAsia="Calibri"/>
        </w:rPr>
        <w:t xml:space="preserve">Bütün bu duyurulara ek olarak, </w:t>
      </w:r>
      <w:r w:rsidR="00AA4B88" w:rsidRPr="00694C38">
        <w:rPr>
          <w:rFonts w:eastAsia="Calibri"/>
        </w:rPr>
        <w:t>ODTÜ araştırmacılarının böylesi çağrılarda ve başka mecralarda elde ettiği başarılar da paylaşılm</w:t>
      </w:r>
      <w:r w:rsidRPr="00694C38">
        <w:rPr>
          <w:rFonts w:eastAsia="Calibri"/>
        </w:rPr>
        <w:t xml:space="preserve">aya devam </w:t>
      </w:r>
      <w:r w:rsidR="00527CA0" w:rsidRPr="00694C38">
        <w:rPr>
          <w:rFonts w:eastAsia="Calibri"/>
        </w:rPr>
        <w:t>edilmiştir</w:t>
      </w:r>
      <w:r w:rsidR="00AA4B88" w:rsidRPr="00694C38">
        <w:rPr>
          <w:rFonts w:eastAsia="Calibri"/>
        </w:rPr>
        <w:t>.</w:t>
      </w:r>
      <w:r w:rsidR="00527CA0" w:rsidRPr="00694C38">
        <w:rPr>
          <w:rFonts w:eastAsia="Calibri"/>
        </w:rPr>
        <w:t xml:space="preserve"> ODTÜ araştırmacılarının böylesi projelerde istihdam edeceği araştırmacılar için özellikle EURAXESS platformu üzerinden </w:t>
      </w:r>
      <w:r w:rsidR="00694C38" w:rsidRPr="00694C38">
        <w:rPr>
          <w:rFonts w:eastAsia="Calibri"/>
        </w:rPr>
        <w:t xml:space="preserve">iş </w:t>
      </w:r>
      <w:r w:rsidR="00527CA0" w:rsidRPr="00694C38">
        <w:rPr>
          <w:rFonts w:eastAsia="Calibri"/>
        </w:rPr>
        <w:t>ilan</w:t>
      </w:r>
      <w:r w:rsidR="00694C38" w:rsidRPr="00694C38">
        <w:rPr>
          <w:rFonts w:eastAsia="Calibri"/>
        </w:rPr>
        <w:t xml:space="preserve">ı </w:t>
      </w:r>
      <w:r w:rsidR="00527CA0" w:rsidRPr="00694C38">
        <w:rPr>
          <w:rFonts w:eastAsia="Calibri"/>
        </w:rPr>
        <w:t>paylaşım</w:t>
      </w:r>
      <w:r w:rsidR="00694C38" w:rsidRPr="00694C38">
        <w:rPr>
          <w:rFonts w:eastAsia="Calibri"/>
        </w:rPr>
        <w:t>lar</w:t>
      </w:r>
      <w:r w:rsidR="00527CA0" w:rsidRPr="00694C38">
        <w:rPr>
          <w:rFonts w:eastAsia="Calibri"/>
        </w:rPr>
        <w:t>ına da devam edilmiştir</w:t>
      </w:r>
      <w:r w:rsidR="004141DB" w:rsidRPr="00694C38">
        <w:rPr>
          <w:rFonts w:eastAsia="Calibri"/>
        </w:rPr>
        <w:t>.</w:t>
      </w:r>
    </w:p>
    <w:p w14:paraId="3D92E2A4" w14:textId="01FD78AC" w:rsidR="002D2BA3" w:rsidRPr="00BD195D" w:rsidRDefault="002D2BA3" w:rsidP="005B5114">
      <w:pPr>
        <w:spacing w:after="120"/>
        <w:ind w:left="360"/>
        <w:jc w:val="both"/>
        <w:rPr>
          <w:rFonts w:eastAsia="Calibri"/>
        </w:rPr>
      </w:pPr>
      <w:r w:rsidRPr="00BD195D">
        <w:rPr>
          <w:rFonts w:eastAsia="Calibri"/>
          <w:b/>
          <w:bCs/>
        </w:rPr>
        <w:t>Grup Bilgilendirme:</w:t>
      </w:r>
      <w:r w:rsidR="00BD195D">
        <w:rPr>
          <w:rFonts w:eastAsia="Calibri"/>
          <w:b/>
          <w:bCs/>
        </w:rPr>
        <w:t xml:space="preserve"> </w:t>
      </w:r>
      <w:r w:rsidR="00BD195D" w:rsidRPr="00BD195D">
        <w:rPr>
          <w:rFonts w:eastAsia="Calibri"/>
        </w:rPr>
        <w:t>Grup bilgilendirme başlığı altında tematik veya çağrı spesifik yapılan bilgilendirme faaliyetleri ele alınmaktadır.</w:t>
      </w:r>
    </w:p>
    <w:p w14:paraId="77194511" w14:textId="546B3863" w:rsidR="00311A15" w:rsidRPr="000E230E" w:rsidRDefault="00311A15" w:rsidP="005B5114">
      <w:pPr>
        <w:pStyle w:val="ListeParagraf"/>
        <w:numPr>
          <w:ilvl w:val="0"/>
          <w:numId w:val="13"/>
        </w:numPr>
        <w:spacing w:after="120"/>
        <w:jc w:val="both"/>
        <w:rPr>
          <w:rFonts w:eastAsia="Calibri"/>
          <w:lang w:val="tr-TR"/>
        </w:rPr>
      </w:pPr>
      <w:r w:rsidRPr="000E230E">
        <w:rPr>
          <w:rFonts w:eastAsia="Calibri"/>
          <w:lang w:val="tr-TR"/>
        </w:rPr>
        <w:t>İktisadi ve İdari Bilimler Fakültesi (İİBF) iş birliğiyle 2 Temmuz 2025 tarihinde “Toplumsal Hazırlık (</w:t>
      </w:r>
      <w:r w:rsidRPr="005D386E">
        <w:rPr>
          <w:rFonts w:eastAsia="Calibri"/>
          <w:i/>
          <w:iCs/>
          <w:lang w:val="tr-TR"/>
        </w:rPr>
        <w:t>Societal Readiness</w:t>
      </w:r>
      <w:r w:rsidR="00123E4C">
        <w:rPr>
          <w:rFonts w:eastAsia="Calibri"/>
          <w:lang w:val="tr-TR"/>
        </w:rPr>
        <w:t xml:space="preserve"> - </w:t>
      </w:r>
      <w:r w:rsidRPr="000E230E">
        <w:rPr>
          <w:rFonts w:eastAsia="Calibri"/>
          <w:lang w:val="tr-TR"/>
        </w:rPr>
        <w:t xml:space="preserve">SR) Bilgi Günü” düzenlenmiştir. Etkinlikte, Ufuk Avrupa Küme 5: İklim, Enerji ve Mobilite alanında pilot olarak uygulanan SR yaklaşımının projelere nasıl entegre edilebileceği ele alınmıştır. Etkinlik </w:t>
      </w:r>
      <w:r w:rsidR="00864295" w:rsidRPr="000E230E">
        <w:rPr>
          <w:rFonts w:eastAsia="Calibri"/>
          <w:lang w:val="tr-TR"/>
        </w:rPr>
        <w:t>sonrasında</w:t>
      </w:r>
      <w:r w:rsidRPr="000E230E">
        <w:rPr>
          <w:rFonts w:eastAsia="Calibri"/>
          <w:lang w:val="tr-TR"/>
        </w:rPr>
        <w:t>, TÜBİTAK ile temas kurularak, Ufuk Avrupa kapsamındaki sosyal ve beşerî bilimler (SSH) boyutunun projelerde daha görünür ve etkili biçimde yer almasına yönelik görüş alışverişinde bulunulmuştur. Bu çalışmalarla ODTÜ’nün SSH odaklı disiplinler-arası proje geliştirme kapasitesinin güçlendirilmesi amaçlanmaktadır.</w:t>
      </w:r>
    </w:p>
    <w:p w14:paraId="41484C19" w14:textId="71815EF5" w:rsidR="00C40EA5" w:rsidRPr="00236F93" w:rsidRDefault="00C40EA5" w:rsidP="00C40EA5">
      <w:pPr>
        <w:pStyle w:val="ListeParagraf"/>
        <w:numPr>
          <w:ilvl w:val="0"/>
          <w:numId w:val="13"/>
        </w:numPr>
        <w:spacing w:after="120"/>
        <w:jc w:val="both"/>
        <w:rPr>
          <w:rFonts w:eastAsia="Calibri"/>
          <w:lang w:val="tr-TR"/>
        </w:rPr>
      </w:pPr>
      <w:r w:rsidRPr="000E230E">
        <w:rPr>
          <w:rFonts w:eastAsia="Calibri"/>
          <w:lang w:val="tr-TR"/>
        </w:rPr>
        <w:t xml:space="preserve">Mimarlık Fakültesi özelinde </w:t>
      </w:r>
      <w:r w:rsidR="00A47782">
        <w:rPr>
          <w:rFonts w:eastAsia="Calibri"/>
          <w:lang w:val="tr-TR"/>
        </w:rPr>
        <w:t xml:space="preserve">06.03.2025 tarihinde </w:t>
      </w:r>
      <w:r w:rsidRPr="000E230E">
        <w:rPr>
          <w:rFonts w:eastAsia="Calibri"/>
          <w:lang w:val="tr-TR"/>
        </w:rPr>
        <w:t xml:space="preserve">proje farkındalığını artırmak adına ulusal ve </w:t>
      </w:r>
      <w:r w:rsidRPr="00236F93">
        <w:rPr>
          <w:rFonts w:eastAsia="Calibri"/>
          <w:lang w:val="tr-TR"/>
        </w:rPr>
        <w:t>uluslararası programlarını kapsayan bir proje yazma eğitimi düzenlenmiştir.</w:t>
      </w:r>
    </w:p>
    <w:p w14:paraId="4571EC9B" w14:textId="53652BD5" w:rsidR="00767FF4" w:rsidRPr="00767FF4" w:rsidRDefault="00AC400F" w:rsidP="00AC400F">
      <w:pPr>
        <w:pStyle w:val="ListeParagraf"/>
        <w:numPr>
          <w:ilvl w:val="0"/>
          <w:numId w:val="13"/>
        </w:numPr>
        <w:spacing w:after="120"/>
        <w:jc w:val="both"/>
        <w:rPr>
          <w:rFonts w:eastAsia="Calibri"/>
          <w:lang w:val="tr-TR"/>
        </w:rPr>
      </w:pPr>
      <w:r w:rsidRPr="00236F93">
        <w:rPr>
          <w:color w:val="222222"/>
          <w:shd w:val="clear" w:color="auto" w:fill="FFFFFF"/>
          <w:lang w:val="tr-TR"/>
        </w:rPr>
        <w:t>Yaz 2025 döneminde Proje Geliştirme Ofisi tarafından</w:t>
      </w:r>
      <w:r w:rsidR="000457D2">
        <w:rPr>
          <w:color w:val="222222"/>
          <w:shd w:val="clear" w:color="auto" w:fill="FFFFFF"/>
          <w:lang w:val="tr-TR"/>
        </w:rPr>
        <w:t xml:space="preserve"> ERC ve MSCA-PF programları özelinde</w:t>
      </w:r>
      <w:r w:rsidR="006F74CB">
        <w:rPr>
          <w:color w:val="222222"/>
          <w:shd w:val="clear" w:color="auto" w:fill="FFFFFF"/>
          <w:lang w:val="tr-TR"/>
        </w:rPr>
        <w:t>;</w:t>
      </w:r>
    </w:p>
    <w:p w14:paraId="68CA46FD" w14:textId="31F321B4" w:rsidR="00EB0FC8" w:rsidRPr="00F2076F" w:rsidRDefault="00EB0FC8" w:rsidP="00EB0FC8">
      <w:pPr>
        <w:pStyle w:val="ListeParagraf"/>
        <w:numPr>
          <w:ilvl w:val="1"/>
          <w:numId w:val="13"/>
        </w:numPr>
        <w:spacing w:after="120"/>
        <w:jc w:val="both"/>
        <w:rPr>
          <w:rFonts w:eastAsia="Calibri"/>
          <w:lang w:val="tr-TR"/>
        </w:rPr>
      </w:pPr>
      <w:r>
        <w:rPr>
          <w:rFonts w:eastAsia="Calibri"/>
          <w:lang w:val="tr-TR"/>
        </w:rPr>
        <w:t>12 Haziran 2025 Perşembe günü h</w:t>
      </w:r>
      <w:r w:rsidRPr="00F2076F">
        <w:rPr>
          <w:rFonts w:eastAsia="Calibri"/>
          <w:lang w:val="tr-TR"/>
        </w:rPr>
        <w:t>âlihazırda ERC projesi bulunan 6 öğretim üyes</w:t>
      </w:r>
      <w:r>
        <w:rPr>
          <w:rFonts w:eastAsia="Calibri"/>
          <w:lang w:val="tr-TR"/>
        </w:rPr>
        <w:t>i ile</w:t>
      </w:r>
      <w:r w:rsidRPr="00F2076F">
        <w:rPr>
          <w:rFonts w:eastAsia="Calibri"/>
          <w:lang w:val="tr-TR"/>
        </w:rPr>
        <w:t xml:space="preserve"> “</w:t>
      </w:r>
      <w:r w:rsidRPr="00EB0FC8">
        <w:rPr>
          <w:rFonts w:eastAsia="Calibri"/>
          <w:i/>
          <w:iCs/>
          <w:lang w:val="tr-TR"/>
        </w:rPr>
        <w:t>Life after ERC</w:t>
      </w:r>
      <w:r w:rsidRPr="00F2076F">
        <w:rPr>
          <w:rFonts w:eastAsia="Calibri"/>
          <w:lang w:val="tr-TR"/>
        </w:rPr>
        <w:t xml:space="preserve">” </w:t>
      </w:r>
      <w:r>
        <w:rPr>
          <w:rFonts w:eastAsia="Calibri"/>
          <w:lang w:val="tr-TR"/>
        </w:rPr>
        <w:t>adı altında ERC projelerinden sonra faydalanabilecekleri çeşitli Ufuk Avrupa programları hakkında detaylı bilgi paylaşılmıştır</w:t>
      </w:r>
      <w:r w:rsidRPr="00F2076F">
        <w:rPr>
          <w:rFonts w:eastAsia="Calibri"/>
          <w:lang w:val="tr-TR"/>
        </w:rPr>
        <w:t>.</w:t>
      </w:r>
    </w:p>
    <w:p w14:paraId="347B4E0F" w14:textId="77777777" w:rsidR="00767FF4" w:rsidRPr="00767FF4" w:rsidRDefault="00767FF4" w:rsidP="00767FF4">
      <w:pPr>
        <w:pStyle w:val="ListeParagraf"/>
        <w:numPr>
          <w:ilvl w:val="1"/>
          <w:numId w:val="13"/>
        </w:numPr>
        <w:spacing w:after="120"/>
        <w:jc w:val="both"/>
        <w:rPr>
          <w:rFonts w:eastAsia="Calibri"/>
          <w:lang w:val="tr-TR"/>
        </w:rPr>
      </w:pPr>
      <w:r>
        <w:rPr>
          <w:color w:val="222222"/>
          <w:shd w:val="clear" w:color="auto" w:fill="FFFFFF"/>
          <w:lang w:val="tr-TR"/>
        </w:rPr>
        <w:t>D</w:t>
      </w:r>
      <w:r w:rsidR="00236F93" w:rsidRPr="00236F93">
        <w:rPr>
          <w:color w:val="222222"/>
          <w:shd w:val="clear" w:color="auto" w:fill="FFFFFF"/>
          <w:lang w:val="tr-TR"/>
        </w:rPr>
        <w:t xml:space="preserve">ört </w:t>
      </w:r>
      <w:r w:rsidR="00AC400F" w:rsidRPr="00236F93">
        <w:rPr>
          <w:color w:val="222222"/>
          <w:shd w:val="clear" w:color="auto" w:fill="FFFFFF"/>
          <w:lang w:val="tr-TR"/>
        </w:rPr>
        <w:t xml:space="preserve">oturumdan oluşan, çevrim içi ERC </w:t>
      </w:r>
      <w:r w:rsidR="00AC400F" w:rsidRPr="00236F93">
        <w:rPr>
          <w:i/>
          <w:iCs/>
          <w:color w:val="222222"/>
          <w:shd w:val="clear" w:color="auto" w:fill="FFFFFF"/>
          <w:lang w:val="tr-TR"/>
        </w:rPr>
        <w:t>Masterclass</w:t>
      </w:r>
      <w:r w:rsidR="00AC400F" w:rsidRPr="00236F93">
        <w:rPr>
          <w:color w:val="222222"/>
          <w:shd w:val="clear" w:color="auto" w:fill="FFFFFF"/>
          <w:lang w:val="tr-TR"/>
        </w:rPr>
        <w:t xml:space="preserve"> seri</w:t>
      </w:r>
      <w:r w:rsidR="00236F93" w:rsidRPr="00236F93">
        <w:rPr>
          <w:color w:val="222222"/>
          <w:shd w:val="clear" w:color="auto" w:fill="FFFFFF"/>
          <w:lang w:val="tr-TR"/>
        </w:rPr>
        <w:t xml:space="preserve">si </w:t>
      </w:r>
      <w:r w:rsidR="00AC400F" w:rsidRPr="00236F93">
        <w:rPr>
          <w:color w:val="222222"/>
          <w:shd w:val="clear" w:color="auto" w:fill="FFFFFF"/>
          <w:lang w:val="tr-TR"/>
        </w:rPr>
        <w:t>düzenlenmiştir</w:t>
      </w:r>
      <w:r>
        <w:rPr>
          <w:color w:val="222222"/>
          <w:shd w:val="clear" w:color="auto" w:fill="FFFFFF"/>
          <w:lang w:val="tr-TR"/>
        </w:rPr>
        <w:t xml:space="preserve">. Bu serinin </w:t>
      </w:r>
      <w:r w:rsidR="00AC400F" w:rsidRPr="00767FF4">
        <w:rPr>
          <w:lang w:val="tr-TR"/>
        </w:rPr>
        <w:t>23 Haziran’daki oturumuna 3</w:t>
      </w:r>
      <w:r w:rsidR="007C6F49" w:rsidRPr="00767FF4">
        <w:rPr>
          <w:lang w:val="tr-TR"/>
        </w:rPr>
        <w:t>0+</w:t>
      </w:r>
      <w:r w:rsidR="00AC400F" w:rsidRPr="00767FF4">
        <w:rPr>
          <w:lang w:val="tr-TR"/>
        </w:rPr>
        <w:t xml:space="preserve"> kişi</w:t>
      </w:r>
      <w:r w:rsidR="007C6F49" w:rsidRPr="00767FF4">
        <w:rPr>
          <w:lang w:val="tr-TR"/>
        </w:rPr>
        <w:t>;</w:t>
      </w:r>
      <w:r w:rsidR="00AC400F" w:rsidRPr="00767FF4">
        <w:rPr>
          <w:lang w:val="tr-TR"/>
        </w:rPr>
        <w:t xml:space="preserve"> 2, 9 ve 16 Temmuz’daki oturum</w:t>
      </w:r>
      <w:r w:rsidR="007C6F49" w:rsidRPr="00767FF4">
        <w:rPr>
          <w:lang w:val="tr-TR"/>
        </w:rPr>
        <w:t>lar</w:t>
      </w:r>
      <w:r w:rsidR="006B6FA1" w:rsidRPr="00767FF4">
        <w:rPr>
          <w:lang w:val="tr-TR"/>
        </w:rPr>
        <w:t>ın</w:t>
      </w:r>
      <w:r w:rsidR="007C6F49" w:rsidRPr="00767FF4">
        <w:rPr>
          <w:lang w:val="tr-TR"/>
        </w:rPr>
        <w:t xml:space="preserve">a ise yaklaşık 10’ar </w:t>
      </w:r>
      <w:r w:rsidR="00AC400F" w:rsidRPr="00767FF4">
        <w:rPr>
          <w:lang w:val="tr-TR"/>
        </w:rPr>
        <w:t>kişi katılım sağlamıştır.</w:t>
      </w:r>
    </w:p>
    <w:p w14:paraId="7EAB6CCA" w14:textId="77777777" w:rsidR="00F2076F" w:rsidRPr="00F2076F" w:rsidRDefault="00767FF4" w:rsidP="00F2076F">
      <w:pPr>
        <w:pStyle w:val="ListeParagraf"/>
        <w:numPr>
          <w:ilvl w:val="1"/>
          <w:numId w:val="13"/>
        </w:numPr>
        <w:spacing w:after="120"/>
        <w:jc w:val="both"/>
        <w:rPr>
          <w:rFonts w:eastAsia="Calibri"/>
          <w:lang w:val="tr-TR"/>
        </w:rPr>
      </w:pPr>
      <w:r w:rsidRPr="00767FF4">
        <w:rPr>
          <w:color w:val="222222"/>
          <w:shd w:val="clear" w:color="auto" w:fill="FFFFFF"/>
          <w:lang w:val="tr-TR"/>
        </w:rPr>
        <w:t>A</w:t>
      </w:r>
      <w:r w:rsidR="006B6FA1" w:rsidRPr="00767FF4">
        <w:rPr>
          <w:color w:val="222222"/>
          <w:shd w:val="clear" w:color="auto" w:fill="FFFFFF"/>
          <w:lang w:val="tr-TR"/>
        </w:rPr>
        <w:t>ltı</w:t>
      </w:r>
      <w:r w:rsidR="00236F93" w:rsidRPr="00767FF4">
        <w:rPr>
          <w:color w:val="222222"/>
          <w:shd w:val="clear" w:color="auto" w:fill="FFFFFF"/>
          <w:lang w:val="tr-TR"/>
        </w:rPr>
        <w:t xml:space="preserve"> oturumdan oluşan, çevrim içi </w:t>
      </w:r>
      <w:r w:rsidR="007C6F49" w:rsidRPr="00767FF4">
        <w:rPr>
          <w:color w:val="222222"/>
          <w:shd w:val="clear" w:color="auto" w:fill="FFFFFF"/>
          <w:lang w:val="tr-TR"/>
        </w:rPr>
        <w:t>MSCA-PF</w:t>
      </w:r>
      <w:r w:rsidR="00236F93" w:rsidRPr="00767FF4">
        <w:rPr>
          <w:color w:val="222222"/>
          <w:shd w:val="clear" w:color="auto" w:fill="FFFFFF"/>
          <w:lang w:val="tr-TR"/>
        </w:rPr>
        <w:t xml:space="preserve"> </w:t>
      </w:r>
      <w:r w:rsidR="00236F93" w:rsidRPr="00767FF4">
        <w:rPr>
          <w:i/>
          <w:iCs/>
          <w:color w:val="222222"/>
          <w:shd w:val="clear" w:color="auto" w:fill="FFFFFF"/>
          <w:lang w:val="tr-TR"/>
        </w:rPr>
        <w:t>Masterclass</w:t>
      </w:r>
      <w:r w:rsidR="00236F93" w:rsidRPr="00767FF4">
        <w:rPr>
          <w:color w:val="222222"/>
          <w:shd w:val="clear" w:color="auto" w:fill="FFFFFF"/>
          <w:lang w:val="tr-TR"/>
        </w:rPr>
        <w:t xml:space="preserve"> serisi düzenlenmiştir</w:t>
      </w:r>
      <w:r>
        <w:rPr>
          <w:color w:val="222222"/>
          <w:shd w:val="clear" w:color="auto" w:fill="FFFFFF"/>
          <w:lang w:val="tr-TR"/>
        </w:rPr>
        <w:t xml:space="preserve">. </w:t>
      </w:r>
      <w:r w:rsidRPr="00767FF4">
        <w:rPr>
          <w:lang w:val="tr-TR"/>
        </w:rPr>
        <w:t xml:space="preserve">Bu serinin </w:t>
      </w:r>
      <w:r w:rsidR="007C6F49" w:rsidRPr="00767FF4">
        <w:rPr>
          <w:lang w:val="tr-TR"/>
        </w:rPr>
        <w:t xml:space="preserve">12, 17 ve 19 Haziran’da toplam üç </w:t>
      </w:r>
      <w:r w:rsidR="006B6FA1" w:rsidRPr="00767FF4">
        <w:rPr>
          <w:lang w:val="tr-TR"/>
        </w:rPr>
        <w:t>tekrarla</w:t>
      </w:r>
      <w:r w:rsidR="007C6F49" w:rsidRPr="00767FF4">
        <w:rPr>
          <w:lang w:val="tr-TR"/>
        </w:rPr>
        <w:t xml:space="preserve"> düzenlenen ve başvuru uygunluk kriterlerinin detaylı bir şekilde üzerinden geçildiği oturumuna toplam 30+ kişi; </w:t>
      </w:r>
      <w:r w:rsidR="006B6FA1" w:rsidRPr="00767FF4">
        <w:rPr>
          <w:lang w:val="tr-TR"/>
        </w:rPr>
        <w:t xml:space="preserve">26 Haziran ve 3 Temmuz’daki oturumlarına yaklaşık 15 kişi; </w:t>
      </w:r>
      <w:r w:rsidR="00FA502D" w:rsidRPr="00767FF4">
        <w:rPr>
          <w:lang w:val="tr-TR"/>
        </w:rPr>
        <w:t xml:space="preserve">10 ve 17 </w:t>
      </w:r>
      <w:r w:rsidR="007C6F49" w:rsidRPr="00767FF4">
        <w:rPr>
          <w:lang w:val="tr-TR"/>
        </w:rPr>
        <w:t xml:space="preserve">Temmuz’daki </w:t>
      </w:r>
      <w:r w:rsidR="00FA502D" w:rsidRPr="00767FF4">
        <w:rPr>
          <w:lang w:val="tr-TR"/>
        </w:rPr>
        <w:t xml:space="preserve">ve 1 Ağustos’taki </w:t>
      </w:r>
      <w:r w:rsidR="007C6F49" w:rsidRPr="00767FF4">
        <w:rPr>
          <w:lang w:val="tr-TR"/>
        </w:rPr>
        <w:t>oturumlar</w:t>
      </w:r>
      <w:r w:rsidR="00FA502D" w:rsidRPr="00767FF4">
        <w:rPr>
          <w:lang w:val="tr-TR"/>
        </w:rPr>
        <w:t xml:space="preserve">ına </w:t>
      </w:r>
      <w:r w:rsidR="007C6F49" w:rsidRPr="00767FF4">
        <w:rPr>
          <w:lang w:val="tr-TR"/>
        </w:rPr>
        <w:t>ise yaklaşık 10’ar kişi katılım sağlamıştır.</w:t>
      </w:r>
    </w:p>
    <w:p w14:paraId="3DB8CE5D" w14:textId="22C42A68" w:rsidR="00AC400F" w:rsidRPr="00F2076F" w:rsidRDefault="00AC400F" w:rsidP="00F2076F">
      <w:pPr>
        <w:pStyle w:val="ListeParagraf"/>
        <w:spacing w:after="120"/>
        <w:ind w:left="1080"/>
        <w:jc w:val="both"/>
        <w:rPr>
          <w:color w:val="222222"/>
          <w:shd w:val="clear" w:color="auto" w:fill="FFFFFF"/>
          <w:lang w:val="tr-TR"/>
        </w:rPr>
      </w:pPr>
      <w:r w:rsidRPr="00DA6CD1">
        <w:rPr>
          <w:color w:val="222222"/>
          <w:shd w:val="clear" w:color="auto" w:fill="FFFFFF"/>
          <w:lang w:val="tr-TR"/>
        </w:rPr>
        <w:t xml:space="preserve">Böylece yaz dönemi boyunca toplamda oldukça çeşitli ve yoğun bir katılımcı profiliyle </w:t>
      </w:r>
      <w:r w:rsidR="00862127">
        <w:rPr>
          <w:color w:val="222222"/>
          <w:shd w:val="clear" w:color="auto" w:fill="FFFFFF"/>
          <w:lang w:val="tr-TR"/>
        </w:rPr>
        <w:t xml:space="preserve">başarılı </w:t>
      </w:r>
      <w:r w:rsidR="000457D2">
        <w:rPr>
          <w:color w:val="222222"/>
          <w:shd w:val="clear" w:color="auto" w:fill="FFFFFF"/>
          <w:lang w:val="tr-TR"/>
        </w:rPr>
        <w:t>ER</w:t>
      </w:r>
      <w:r w:rsidR="00B33020">
        <w:rPr>
          <w:color w:val="222222"/>
          <w:shd w:val="clear" w:color="auto" w:fill="FFFFFF"/>
          <w:lang w:val="tr-TR"/>
        </w:rPr>
        <w:t>C</w:t>
      </w:r>
      <w:r w:rsidR="000457D2">
        <w:rPr>
          <w:color w:val="222222"/>
          <w:shd w:val="clear" w:color="auto" w:fill="FFFFFF"/>
          <w:lang w:val="tr-TR"/>
        </w:rPr>
        <w:t xml:space="preserve"> ve MSCA-PF aday </w:t>
      </w:r>
      <w:r w:rsidR="00862127">
        <w:rPr>
          <w:color w:val="222222"/>
          <w:shd w:val="clear" w:color="auto" w:fill="FFFFFF"/>
          <w:lang w:val="tr-TR"/>
        </w:rPr>
        <w:t>grup</w:t>
      </w:r>
      <w:r w:rsidR="000457D2">
        <w:rPr>
          <w:color w:val="222222"/>
          <w:shd w:val="clear" w:color="auto" w:fill="FFFFFF"/>
          <w:lang w:val="tr-TR"/>
        </w:rPr>
        <w:t xml:space="preserve">larını </w:t>
      </w:r>
      <w:r w:rsidR="00862127">
        <w:rPr>
          <w:color w:val="222222"/>
          <w:shd w:val="clear" w:color="auto" w:fill="FFFFFF"/>
          <w:lang w:val="tr-TR"/>
        </w:rPr>
        <w:t>bilgilendirme etkinlikler</w:t>
      </w:r>
      <w:r w:rsidR="000457D2">
        <w:rPr>
          <w:color w:val="222222"/>
          <w:shd w:val="clear" w:color="auto" w:fill="FFFFFF"/>
          <w:lang w:val="tr-TR"/>
        </w:rPr>
        <w:t>i</w:t>
      </w:r>
      <w:r w:rsidR="00862127">
        <w:rPr>
          <w:color w:val="222222"/>
          <w:shd w:val="clear" w:color="auto" w:fill="FFFFFF"/>
          <w:lang w:val="tr-TR"/>
        </w:rPr>
        <w:t xml:space="preserve"> düzenlenmiştir</w:t>
      </w:r>
      <w:r w:rsidR="00F2076F">
        <w:rPr>
          <w:color w:val="222222"/>
          <w:shd w:val="clear" w:color="auto" w:fill="FFFFFF"/>
          <w:lang w:val="tr-TR"/>
        </w:rPr>
        <w:t>.</w:t>
      </w:r>
    </w:p>
    <w:p w14:paraId="44991DC8" w14:textId="1C9E15C9" w:rsidR="002D2BA3" w:rsidRPr="004B0471" w:rsidRDefault="002D2BA3" w:rsidP="00A47782">
      <w:pPr>
        <w:spacing w:after="120"/>
        <w:jc w:val="both"/>
      </w:pPr>
      <w:r w:rsidRPr="007A6E06">
        <w:rPr>
          <w:rFonts w:eastAsia="Calibri"/>
          <w:b/>
          <w:bCs/>
        </w:rPr>
        <w:t>Bireysel Bilgilendirme:</w:t>
      </w:r>
      <w:r w:rsidRPr="007A6E06">
        <w:rPr>
          <w:rFonts w:eastAsia="Calibri"/>
        </w:rPr>
        <w:t xml:space="preserve"> Sistematik bilgilendirme faaliyetlerinin 3. ve vazgeçilmez ayağı olan bireysel bilgilendirme toplantıları (proje özelinde görüşmeler veya yol haritası çizme danışmanlığı) yoğun bir şekilde devam etmiştir. Bu toplantılar </w:t>
      </w:r>
      <w:r w:rsidR="00E004DB" w:rsidRPr="007A6E06">
        <w:rPr>
          <w:rFonts w:eastAsia="Calibri"/>
        </w:rPr>
        <w:t xml:space="preserve">aracılığıyla </w:t>
      </w:r>
      <w:r w:rsidRPr="007A6E06">
        <w:rPr>
          <w:rFonts w:eastAsia="Calibri"/>
        </w:rPr>
        <w:t>araştırmacılara uygun çağrı seçimi, uluslararası ortak bulma, araştırma ağı oluşturma/geliştirme ve çağrıya uygun proje kurgulama yöntemleri hakkında detaylı bilgiler verilmektedir.</w:t>
      </w:r>
      <w:r w:rsidR="00F016E5" w:rsidRPr="007A6E06">
        <w:t xml:space="preserve"> </w:t>
      </w:r>
      <w:r w:rsidR="00E004DB" w:rsidRPr="007A6E06">
        <w:t>Bu noktada Proje Geliştirme Ofisi</w:t>
      </w:r>
      <w:r w:rsidR="007A6E06" w:rsidRPr="007A6E06">
        <w:t>,</w:t>
      </w:r>
      <w:r w:rsidR="00E004DB" w:rsidRPr="007A6E06">
        <w:t xml:space="preserve"> araştırmacıların </w:t>
      </w:r>
      <w:r w:rsidR="00A71311" w:rsidRPr="007A6E06">
        <w:t xml:space="preserve">açık erişimdeki </w:t>
      </w:r>
      <w:r w:rsidR="00E004DB" w:rsidRPr="007A6E06">
        <w:t xml:space="preserve">özgeçmişleri </w:t>
      </w:r>
      <w:r w:rsidR="007167D5" w:rsidRPr="007A6E06">
        <w:t xml:space="preserve">ve araştırmaları ile uyumlu çağrılar hakkında yapay </w:t>
      </w:r>
      <w:r w:rsidR="00E279E2" w:rsidRPr="007A6E06">
        <w:t>zekâ</w:t>
      </w:r>
      <w:r w:rsidR="007167D5" w:rsidRPr="007A6E06">
        <w:t xml:space="preserve"> desteğiyle hızlıca raporlar hazırlama konusunda etkin adımlar </w:t>
      </w:r>
      <w:r w:rsidR="007167D5" w:rsidRPr="007A6E06">
        <w:lastRenderedPageBreak/>
        <w:t>atmış ve bu raporlar sayesinde bireysel yol haritası çizme toplantılarının verimini artırmayı sağlamıştır.</w:t>
      </w:r>
    </w:p>
    <w:p w14:paraId="6ADC04F2" w14:textId="6EF66511" w:rsidR="00142638" w:rsidRDefault="00142638" w:rsidP="009639A0">
      <w:pPr>
        <w:spacing w:after="120"/>
        <w:jc w:val="both"/>
        <w:rPr>
          <w:rFonts w:eastAsia="Calibri"/>
          <w:b/>
          <w:bCs/>
        </w:rPr>
      </w:pPr>
      <w:r w:rsidRPr="004B0471">
        <w:rPr>
          <w:rFonts w:eastAsia="Calibri"/>
          <w:b/>
          <w:bCs/>
        </w:rPr>
        <w:t xml:space="preserve">Kurumsal </w:t>
      </w:r>
      <w:r w:rsidR="007618FC" w:rsidRPr="004B0471">
        <w:rPr>
          <w:rFonts w:eastAsia="Calibri"/>
          <w:b/>
          <w:bCs/>
        </w:rPr>
        <w:t xml:space="preserve">İş </w:t>
      </w:r>
      <w:r w:rsidR="007618FC">
        <w:rPr>
          <w:rFonts w:eastAsia="Calibri"/>
          <w:b/>
          <w:bCs/>
        </w:rPr>
        <w:t>B</w:t>
      </w:r>
      <w:r w:rsidR="007618FC" w:rsidRPr="004B0471">
        <w:rPr>
          <w:rFonts w:eastAsia="Calibri"/>
          <w:b/>
          <w:bCs/>
        </w:rPr>
        <w:t>irlikleri</w:t>
      </w:r>
      <w:r w:rsidR="00A50CD4" w:rsidRPr="004B0471">
        <w:rPr>
          <w:rFonts w:eastAsia="Calibri"/>
          <w:b/>
          <w:bCs/>
        </w:rPr>
        <w:t xml:space="preserve"> ve Tecrübe Paylaşımı</w:t>
      </w:r>
      <w:r w:rsidRPr="004B0471">
        <w:rPr>
          <w:rFonts w:eastAsia="Calibri"/>
          <w:b/>
          <w:bCs/>
        </w:rPr>
        <w:t>:</w:t>
      </w:r>
    </w:p>
    <w:p w14:paraId="30B49BBC" w14:textId="4A3F919F" w:rsidR="00142638" w:rsidRPr="009639A0" w:rsidRDefault="00142638" w:rsidP="009639A0">
      <w:pPr>
        <w:pStyle w:val="ListeParagraf"/>
        <w:numPr>
          <w:ilvl w:val="0"/>
          <w:numId w:val="18"/>
        </w:numPr>
        <w:spacing w:after="120"/>
        <w:jc w:val="both"/>
      </w:pPr>
      <w:r w:rsidRPr="009639A0">
        <w:rPr>
          <w:rFonts w:eastAsia="Calibri"/>
          <w:lang w:val="tr-TR"/>
        </w:rPr>
        <w:t xml:space="preserve">10–11 Nisan 2025 tarihlerinde Boğaziçi Üniversitesi Proje Ofisi’nin ve 1 Ekim 2025 tarihinde Koç Üniversitesi Sponsorlu Araştırmalar Ofisi’nin ziyaretleri kapsamında, Ufuk Avrupa programlarında kurumsal kapasitenin güçlendirilmesi, iyi uygulamaların paylaşılması ve üniversiteler arası </w:t>
      </w:r>
      <w:r w:rsidR="007618FC" w:rsidRPr="009639A0">
        <w:rPr>
          <w:rFonts w:eastAsia="Calibri"/>
          <w:lang w:val="tr-TR"/>
        </w:rPr>
        <w:t>iş birliğinin</w:t>
      </w:r>
      <w:r w:rsidRPr="009639A0">
        <w:rPr>
          <w:rFonts w:eastAsia="Calibri"/>
          <w:lang w:val="tr-TR"/>
        </w:rPr>
        <w:t xml:space="preserve"> derinleştirilmesine yönelik tecrübe paylaşımı toplantıları gerçekleştirilmiştir. Bu temaslarda, araştırmacı destek modelleri, proje geliştirme süreçleri ve ulusal–uluslararası ağlarla etkileşim başlıkları ele alınarak, Türkiye’nin Ufuk Avrupa performansının artırılmasına katkı sağlayacak ortak öğrenme ve koordinasyon zeminleri oluşturulmuştur.</w:t>
      </w:r>
      <w:r w:rsidRPr="009639A0">
        <w:rPr>
          <w:rFonts w:eastAsia="Calibri"/>
          <w:b/>
          <w:bCs/>
          <w:lang w:val="tr-TR"/>
        </w:rPr>
        <w:t xml:space="preserve"> </w:t>
      </w:r>
      <w:r w:rsidRPr="009639A0">
        <w:rPr>
          <w:rFonts w:eastAsia="Calibri"/>
          <w:lang w:val="tr-TR"/>
        </w:rPr>
        <w:t xml:space="preserve">Bu ziyaretler, ODTÜ’nün 2015’ten bu yana sürdürdüğü ve 2025 yılında da devam eden </w:t>
      </w:r>
      <w:r w:rsidR="00DE5AB3" w:rsidRPr="009639A0">
        <w:rPr>
          <w:rFonts w:eastAsia="Calibri"/>
          <w:lang w:val="tr-TR"/>
        </w:rPr>
        <w:t>Bilgi Çoğaltıcıları Kulübü</w:t>
      </w:r>
      <w:r w:rsidRPr="009639A0">
        <w:rPr>
          <w:rFonts w:eastAsia="Calibri"/>
          <w:lang w:val="tr-TR"/>
        </w:rPr>
        <w:t xml:space="preserve"> (</w:t>
      </w:r>
      <w:r w:rsidRPr="007618FC">
        <w:rPr>
          <w:rFonts w:eastAsia="Calibri"/>
          <w:i/>
          <w:iCs/>
          <w:lang w:val="tr-TR"/>
        </w:rPr>
        <w:t>Information Multipliers System</w:t>
      </w:r>
      <w:r w:rsidR="007618FC">
        <w:rPr>
          <w:rFonts w:eastAsia="Calibri"/>
          <w:lang w:val="tr-TR"/>
        </w:rPr>
        <w:t xml:space="preserve"> - </w:t>
      </w:r>
      <w:r w:rsidRPr="009639A0">
        <w:rPr>
          <w:rFonts w:eastAsia="Calibri"/>
          <w:lang w:val="tr-TR"/>
        </w:rPr>
        <w:t xml:space="preserve">IMS) kurumsal üyeliği çerçevesinde, araştırma yönetimi alanında ulusal düzeyde bilgi paylaşımı ve kapasite geliştirme misyonunun somut bir yansıması olarak </w:t>
      </w:r>
      <w:r w:rsidR="00B77D34">
        <w:rPr>
          <w:rFonts w:eastAsia="Calibri"/>
          <w:lang w:val="tr-TR"/>
        </w:rPr>
        <w:t>da değerlendirilmektedir</w:t>
      </w:r>
      <w:r w:rsidRPr="009639A0">
        <w:rPr>
          <w:rFonts w:eastAsia="Calibri"/>
          <w:lang w:val="tr-TR"/>
        </w:rPr>
        <w:t>.</w:t>
      </w:r>
    </w:p>
    <w:p w14:paraId="01460FC8" w14:textId="77777777" w:rsidR="00546300" w:rsidRDefault="002C131C" w:rsidP="005B5114">
      <w:pPr>
        <w:pStyle w:val="ListeParagraf"/>
        <w:numPr>
          <w:ilvl w:val="0"/>
          <w:numId w:val="18"/>
        </w:numPr>
        <w:spacing w:after="120"/>
        <w:jc w:val="both"/>
        <w:rPr>
          <w:rFonts w:eastAsia="Calibri"/>
          <w:lang w:val="tr-TR"/>
        </w:rPr>
      </w:pPr>
      <w:r w:rsidRPr="004B0471">
        <w:rPr>
          <w:rFonts w:eastAsia="Calibri"/>
          <w:lang w:val="tr-TR"/>
        </w:rPr>
        <w:t>2025 yılı Nisan–Mayıs aylarında, TÜBİTAK ile karşılıklı bilgi paylaşımını güçlendirmek ve kurumsal kapasiteyi artırmak amacıyla yoğun temaslar yürütülmüştür. Bu kapsamda TÜBİTAK Avrupa Araştırma Konseyi (ERC) ve MSCA Ulusal İrtibat Noktaları ile birebir toplantılar gerçekleştirilmiş; güncel çağrılar, değerlendirme süreçleri ve planlanan eğitim paketleri hakkında karşılıklı görüş alışverişinde bulunulmuştur. Ayrıca EIC ve WIDERA Ulusal İrtibat Noktaları ile de temas kurularak ODTÜ’nün bu alanlardaki stratejik konumlanmasına yönelik bilgi alışverişi yapılmıştır.</w:t>
      </w:r>
      <w:bookmarkStart w:id="3" w:name="_Hlk188030154"/>
    </w:p>
    <w:p w14:paraId="3BC77360" w14:textId="77777777" w:rsidR="00546300" w:rsidRDefault="00515DF1" w:rsidP="00546300">
      <w:pPr>
        <w:spacing w:after="120"/>
        <w:jc w:val="both"/>
        <w:rPr>
          <w:rFonts w:eastAsia="Calibri"/>
        </w:rPr>
      </w:pPr>
      <w:r w:rsidRPr="00546300">
        <w:rPr>
          <w:rFonts w:eastAsia="Calibri"/>
          <w:b/>
        </w:rPr>
        <w:t>Uluslararası Ar-Ge Destekleri:</w:t>
      </w:r>
      <w:r w:rsidR="00C9707A" w:rsidRPr="00546300">
        <w:rPr>
          <w:rFonts w:eastAsia="Calibri"/>
        </w:rPr>
        <w:t xml:space="preserve"> </w:t>
      </w:r>
    </w:p>
    <w:p w14:paraId="7AABBA17" w14:textId="643EFA10" w:rsidR="00546300" w:rsidRPr="00265351" w:rsidRDefault="00A4171C" w:rsidP="00546300">
      <w:pPr>
        <w:spacing w:after="120"/>
        <w:jc w:val="both"/>
        <w:rPr>
          <w:rFonts w:eastAsia="Calibri"/>
        </w:rPr>
      </w:pPr>
      <w:r w:rsidRPr="004B0471">
        <w:t xml:space="preserve">Üniversitemizin 2025 yılında başlayan </w:t>
      </w:r>
      <w:r w:rsidRPr="004B0471">
        <w:rPr>
          <w:rFonts w:eastAsia="Calibri"/>
        </w:rPr>
        <w:t>ve/veya devam eden toplam 38 adet Ufuk Avrupa projesi vardır.</w:t>
      </w:r>
      <w:r>
        <w:rPr>
          <w:rFonts w:eastAsia="Calibri"/>
        </w:rPr>
        <w:t xml:space="preserve"> Öte yandan, </w:t>
      </w:r>
      <w:r w:rsidR="0025735E" w:rsidRPr="00265351">
        <w:rPr>
          <w:rFonts w:eastAsia="Calibri"/>
        </w:rPr>
        <w:t>2025 yılında toplam bütçesi ~22 milyon € ve ODTÜ payı ~2,5 milyon € olmak üzere 8 adet Ufuk Avrupa ve 11 adet diğer uluslararası (Erasmus+, Birleşik Krallık AHRC, NATO vb.) kaynaklı proje başlamıştır.</w:t>
      </w:r>
      <w:bookmarkEnd w:id="3"/>
      <w:r w:rsidR="003543D5">
        <w:rPr>
          <w:rFonts w:eastAsia="Calibri"/>
        </w:rPr>
        <w:t xml:space="preserve"> </w:t>
      </w:r>
    </w:p>
    <w:p w14:paraId="0048DE86" w14:textId="7B568ED6" w:rsidR="00546300" w:rsidRDefault="00DE1C59" w:rsidP="005B5114">
      <w:pPr>
        <w:spacing w:after="120"/>
        <w:jc w:val="both"/>
        <w:rPr>
          <w:rFonts w:eastAsia="Calibri"/>
        </w:rPr>
      </w:pPr>
      <w:r w:rsidRPr="00265351">
        <w:rPr>
          <w:rFonts w:eastAsia="Calibri"/>
        </w:rPr>
        <w:t>Birimimiz 202</w:t>
      </w:r>
      <w:r w:rsidR="00265351" w:rsidRPr="00265351">
        <w:rPr>
          <w:rFonts w:eastAsia="Calibri"/>
        </w:rPr>
        <w:t xml:space="preserve">5 </w:t>
      </w:r>
      <w:r w:rsidRPr="00265351">
        <w:rPr>
          <w:rFonts w:eastAsia="Calibri"/>
        </w:rPr>
        <w:t>yılında da Ufuk Avrupa Programı MSCA</w:t>
      </w:r>
      <w:r w:rsidR="00265351" w:rsidRPr="00265351">
        <w:rPr>
          <w:rFonts w:eastAsia="Calibri"/>
        </w:rPr>
        <w:t xml:space="preserve"> ve </w:t>
      </w:r>
      <w:r w:rsidRPr="00265351">
        <w:rPr>
          <w:rFonts w:eastAsia="Calibri"/>
        </w:rPr>
        <w:t>ERC bileşenleri konusunda özelleşmiş çalışmalar yürütmüştür:</w:t>
      </w:r>
    </w:p>
    <w:p w14:paraId="02AA8723" w14:textId="77777777" w:rsidR="0026105D" w:rsidRDefault="00066DB0" w:rsidP="00A47782">
      <w:pPr>
        <w:spacing w:after="120"/>
        <w:jc w:val="both"/>
        <w:rPr>
          <w:rFonts w:eastAsia="Calibri"/>
        </w:rPr>
      </w:pPr>
      <w:r w:rsidRPr="003A6487">
        <w:rPr>
          <w:rFonts w:eastAsia="Calibri"/>
          <w:b/>
          <w:bCs/>
        </w:rPr>
        <w:t>ODTÜ MSCA-PF ve ERC Pusula Programları:</w:t>
      </w:r>
      <w:r w:rsidR="00E07EA3" w:rsidRPr="0026105D">
        <w:rPr>
          <w:rFonts w:eastAsia="Calibri"/>
          <w:b/>
          <w:bCs/>
        </w:rPr>
        <w:t xml:space="preserve"> </w:t>
      </w:r>
      <w:r w:rsidR="0058124E" w:rsidRPr="0026105D">
        <w:rPr>
          <w:rFonts w:eastAsia="Calibri"/>
        </w:rPr>
        <w:t xml:space="preserve">Araştırmalar Koordinatörlüğü altında olup tekrar canlandırılan Proje Geliştirme Ofisi tarafından </w:t>
      </w:r>
      <w:r w:rsidR="00E07EA3" w:rsidRPr="0026105D">
        <w:rPr>
          <w:rFonts w:eastAsia="Calibri"/>
        </w:rPr>
        <w:t xml:space="preserve">2025 yılında ilk kez hayata geçirilen ODTÜ MSCA-PF ve ERC Pusula Programları (2025–2026) ile, Ufuk Avrupa Marie Skłodowska-Curie </w:t>
      </w:r>
      <w:r w:rsidR="00E07EA3" w:rsidRPr="00910234">
        <w:rPr>
          <w:rFonts w:eastAsia="Calibri"/>
          <w:i/>
          <w:iCs/>
        </w:rPr>
        <w:t>Postdoctoral Fellowships</w:t>
      </w:r>
      <w:r w:rsidR="00E07EA3" w:rsidRPr="0026105D">
        <w:rPr>
          <w:rFonts w:eastAsia="Calibri"/>
        </w:rPr>
        <w:t xml:space="preserve"> (MSCA-PF) ve Avrupa Araştırma Konseyi (ERC) çağrılarına yönelik olarak araştırmacıların başvuru kalitesini ve başarı oranını artırmayı hedefleyen yapılandırılmış bir destek mekanizması kurulmuştur.</w:t>
      </w:r>
      <w:r w:rsidR="00AF2CE7" w:rsidRPr="0026105D">
        <w:rPr>
          <w:rFonts w:eastAsia="Calibri"/>
        </w:rPr>
        <w:t xml:space="preserve"> </w:t>
      </w:r>
    </w:p>
    <w:p w14:paraId="337BAEFA" w14:textId="08A8AB36" w:rsidR="0026105D" w:rsidRDefault="00AF2CE7" w:rsidP="00A47782">
      <w:pPr>
        <w:spacing w:after="120"/>
        <w:jc w:val="both"/>
        <w:rPr>
          <w:rFonts w:eastAsia="Calibri"/>
        </w:rPr>
      </w:pPr>
      <w:r w:rsidRPr="00A334F2">
        <w:rPr>
          <w:rFonts w:eastAsia="Calibri"/>
          <w:u w:val="single"/>
        </w:rPr>
        <w:t>ODTÜ MSCA-PF Pusula Programı</w:t>
      </w:r>
      <w:r w:rsidR="0058124E">
        <w:rPr>
          <w:rFonts w:eastAsia="Calibri"/>
        </w:rPr>
        <w:t xml:space="preserve"> kapsamında</w:t>
      </w:r>
      <w:r w:rsidRPr="004B0471">
        <w:rPr>
          <w:rFonts w:eastAsia="Calibri"/>
        </w:rPr>
        <w:t xml:space="preserve">, </w:t>
      </w:r>
      <w:r w:rsidR="0058124E">
        <w:rPr>
          <w:rFonts w:eastAsia="Calibri"/>
        </w:rPr>
        <w:t xml:space="preserve">bu programa </w:t>
      </w:r>
      <w:r w:rsidRPr="004B0471">
        <w:rPr>
          <w:rFonts w:eastAsia="Calibri"/>
        </w:rPr>
        <w:t>ODTÜ ev sahipliğinde başvuru yapabilecek uygun adayları belirlemek amacıyla 360° iletişim stratejisi</w:t>
      </w:r>
      <w:r w:rsidR="00DD1D22" w:rsidRPr="004B0471">
        <w:rPr>
          <w:rFonts w:eastAsia="Calibri"/>
        </w:rPr>
        <w:t xml:space="preserve"> oluşturul</w:t>
      </w:r>
      <w:r w:rsidR="0041742C" w:rsidRPr="004B0471">
        <w:rPr>
          <w:rFonts w:eastAsia="Calibri"/>
        </w:rPr>
        <w:t>muştur</w:t>
      </w:r>
      <w:r w:rsidRPr="004B0471">
        <w:rPr>
          <w:rFonts w:eastAsia="Calibri"/>
        </w:rPr>
        <w:t xml:space="preserve">. </w:t>
      </w:r>
      <w:r w:rsidR="00DC138E" w:rsidRPr="004B0471">
        <w:rPr>
          <w:rFonts w:eastAsia="Calibri"/>
        </w:rPr>
        <w:t xml:space="preserve">Bu kapsamda ODTÜ akademik personeline yönelik genel duyuru; ODTÜ’ye yeni başlayacak akademisyenlere </w:t>
      </w:r>
      <w:r w:rsidR="00A47782" w:rsidRPr="004B0471">
        <w:rPr>
          <w:rFonts w:eastAsia="Calibri"/>
        </w:rPr>
        <w:t>bilgilendirme,</w:t>
      </w:r>
      <w:r w:rsidR="00DC138E" w:rsidRPr="004B0471">
        <w:rPr>
          <w:rFonts w:eastAsia="Calibri"/>
        </w:rPr>
        <w:t xml:space="preserve"> 33/A statüsünde veya benzeri pozisyonlarda görev yapan doktora dereceli öğretim elemanlarına yönelik hedefli bir </w:t>
      </w:r>
      <w:r w:rsidR="0058124E">
        <w:rPr>
          <w:rFonts w:eastAsia="Calibri"/>
        </w:rPr>
        <w:t>duyuru</w:t>
      </w:r>
      <w:r w:rsidR="00752D68">
        <w:rPr>
          <w:rFonts w:eastAsia="Calibri"/>
        </w:rPr>
        <w:t>ya çıkılmıştır</w:t>
      </w:r>
      <w:r w:rsidR="00DC138E" w:rsidRPr="004B0471">
        <w:rPr>
          <w:rFonts w:eastAsia="Calibri"/>
        </w:rPr>
        <w:t xml:space="preserve">. Ayrıca ODTÜ’nün ev sahipliği kapasitesini uluslararası düzeyde duyurmak üzere EURAXESS platformunda </w:t>
      </w:r>
      <w:r w:rsidR="003C7585">
        <w:rPr>
          <w:rFonts w:eastAsia="Calibri"/>
        </w:rPr>
        <w:t>ilana çıkılmıştır</w:t>
      </w:r>
      <w:r w:rsidR="00DC138E" w:rsidRPr="004B0471">
        <w:rPr>
          <w:rFonts w:eastAsia="Calibri"/>
        </w:rPr>
        <w:t>.</w:t>
      </w:r>
      <w:r w:rsidR="0041742C" w:rsidRPr="004B0471">
        <w:rPr>
          <w:rFonts w:eastAsia="Calibri"/>
        </w:rPr>
        <w:t xml:space="preserve"> </w:t>
      </w:r>
      <w:r w:rsidR="00DC138E" w:rsidRPr="004B0471">
        <w:rPr>
          <w:rFonts w:eastAsia="Calibri"/>
        </w:rPr>
        <w:t xml:space="preserve">Uluslararası erişim için EURAXESS </w:t>
      </w:r>
      <w:r w:rsidR="00DC138E" w:rsidRPr="00910234">
        <w:rPr>
          <w:rFonts w:eastAsia="Calibri"/>
          <w:i/>
          <w:iCs/>
        </w:rPr>
        <w:t>Worldwide</w:t>
      </w:r>
      <w:r w:rsidR="00DC138E" w:rsidRPr="004B0471">
        <w:rPr>
          <w:rFonts w:eastAsia="Calibri"/>
        </w:rPr>
        <w:t xml:space="preserve"> etkinliği </w:t>
      </w:r>
      <w:r w:rsidR="00DC138E" w:rsidRPr="004B0471">
        <w:rPr>
          <w:rFonts w:eastAsia="Calibri"/>
        </w:rPr>
        <w:lastRenderedPageBreak/>
        <w:t xml:space="preserve">kapsamında, Türkiye’den yalnızca beş kurumun davet edildiği </w:t>
      </w:r>
      <w:r w:rsidR="003C7585">
        <w:rPr>
          <w:rFonts w:eastAsia="Calibri"/>
        </w:rPr>
        <w:t xml:space="preserve">(diğer dördünün özel üniversite ve sanayi kuruluşu olduğu) </w:t>
      </w:r>
      <w:r w:rsidR="00DC138E" w:rsidRPr="004B0471">
        <w:rPr>
          <w:rFonts w:eastAsia="Calibri"/>
        </w:rPr>
        <w:t>iki webinarda ODTÜ uluslararası adaylara sun</w:t>
      </w:r>
      <w:r w:rsidR="0041742C" w:rsidRPr="004B0471">
        <w:rPr>
          <w:rFonts w:eastAsia="Calibri"/>
        </w:rPr>
        <w:t>ulmuş</w:t>
      </w:r>
      <w:r w:rsidR="003C7585">
        <w:rPr>
          <w:rFonts w:eastAsia="Calibri"/>
        </w:rPr>
        <w:t>tur.</w:t>
      </w:r>
    </w:p>
    <w:p w14:paraId="47683FDD" w14:textId="5D2D4083" w:rsidR="0026105D" w:rsidRDefault="003C7585" w:rsidP="00A47782">
      <w:pPr>
        <w:spacing w:after="120"/>
        <w:jc w:val="both"/>
        <w:rPr>
          <w:rFonts w:eastAsia="Calibri"/>
        </w:rPr>
      </w:pPr>
      <w:r>
        <w:rPr>
          <w:rFonts w:eastAsia="Calibri"/>
        </w:rPr>
        <w:t>B</w:t>
      </w:r>
      <w:r w:rsidR="00DC138E" w:rsidRPr="004B0471">
        <w:rPr>
          <w:rFonts w:eastAsia="Calibri"/>
        </w:rPr>
        <w:t>un</w:t>
      </w:r>
      <w:r>
        <w:rPr>
          <w:rFonts w:eastAsia="Calibri"/>
        </w:rPr>
        <w:t>lar</w:t>
      </w:r>
      <w:r w:rsidR="00DC138E" w:rsidRPr="004B0471">
        <w:rPr>
          <w:rFonts w:eastAsia="Calibri"/>
        </w:rPr>
        <w:t>a ek olarak öğretim üyelerinden aday önerisi almak amacıyla iki webinar düzenlen</w:t>
      </w:r>
      <w:r w:rsidR="0041742C" w:rsidRPr="004B0471">
        <w:rPr>
          <w:rFonts w:eastAsia="Calibri"/>
        </w:rPr>
        <w:t>miştir</w:t>
      </w:r>
      <w:r w:rsidR="00DC138E" w:rsidRPr="004B0471">
        <w:rPr>
          <w:rFonts w:eastAsia="Calibri"/>
        </w:rPr>
        <w:t>. Bu kanallar üzerinden ulaşılan potansiyel adaylara çağrının uygunluk kriterlerini açıklamak üzere üç bilgilendirme webinarı gerçekleştiril</w:t>
      </w:r>
      <w:r w:rsidR="0041742C" w:rsidRPr="004B0471">
        <w:rPr>
          <w:rFonts w:eastAsia="Calibri"/>
        </w:rPr>
        <w:t>miştir</w:t>
      </w:r>
      <w:r w:rsidR="00DC138E" w:rsidRPr="004B0471">
        <w:rPr>
          <w:rFonts w:eastAsia="Calibri"/>
        </w:rPr>
        <w:t xml:space="preserve">. </w:t>
      </w:r>
      <w:r w:rsidR="007D5FFD" w:rsidRPr="004B0471">
        <w:rPr>
          <w:rFonts w:eastAsia="Calibri"/>
        </w:rPr>
        <w:t>Bu aday havuzundan belirlenen adayla</w:t>
      </w:r>
      <w:r w:rsidR="007341A7">
        <w:rPr>
          <w:rFonts w:eastAsia="Calibri"/>
        </w:rPr>
        <w:t>r</w:t>
      </w:r>
      <w:r w:rsidR="007D5FFD" w:rsidRPr="004B0471">
        <w:rPr>
          <w:rFonts w:eastAsia="Calibri"/>
        </w:rPr>
        <w:t xml:space="preserve">, </w:t>
      </w:r>
      <w:r w:rsidR="001D2D3A" w:rsidRPr="004B0471">
        <w:rPr>
          <w:rFonts w:eastAsia="Calibri"/>
        </w:rPr>
        <w:t>“</w:t>
      </w:r>
      <w:r w:rsidR="00763D1E">
        <w:rPr>
          <w:rFonts w:eastAsia="Calibri"/>
        </w:rPr>
        <w:t xml:space="preserve">101: </w:t>
      </w:r>
      <w:r w:rsidR="001D2D3A" w:rsidRPr="004B0471">
        <w:rPr>
          <w:rFonts w:eastAsia="Calibri"/>
        </w:rPr>
        <w:t>Mükemmeliyet”, “</w:t>
      </w:r>
      <w:r w:rsidR="00763D1E">
        <w:rPr>
          <w:rFonts w:eastAsia="Calibri"/>
        </w:rPr>
        <w:t xml:space="preserve">101: </w:t>
      </w:r>
      <w:r w:rsidR="001D2D3A" w:rsidRPr="004B0471">
        <w:rPr>
          <w:rFonts w:eastAsia="Calibri"/>
        </w:rPr>
        <w:t>Yaygın Etki”, “</w:t>
      </w:r>
      <w:r w:rsidR="00763D1E">
        <w:rPr>
          <w:rFonts w:eastAsia="Calibri"/>
        </w:rPr>
        <w:t xml:space="preserve">103: </w:t>
      </w:r>
      <w:r w:rsidR="001D2D3A" w:rsidRPr="004B0471">
        <w:rPr>
          <w:rFonts w:eastAsia="Calibri"/>
        </w:rPr>
        <w:t>Uygulama”</w:t>
      </w:r>
      <w:r w:rsidR="00763D1E">
        <w:rPr>
          <w:rFonts w:eastAsia="Calibri"/>
        </w:rPr>
        <w:t>,</w:t>
      </w:r>
      <w:r w:rsidR="001D2D3A" w:rsidRPr="004B0471">
        <w:rPr>
          <w:rFonts w:eastAsia="Calibri"/>
        </w:rPr>
        <w:t xml:space="preserve"> “</w:t>
      </w:r>
      <w:r w:rsidR="00763D1E">
        <w:rPr>
          <w:rFonts w:eastAsia="Calibri"/>
        </w:rPr>
        <w:t xml:space="preserve">104: </w:t>
      </w:r>
      <w:r w:rsidR="001D2D3A" w:rsidRPr="004B0471">
        <w:rPr>
          <w:rFonts w:eastAsia="Calibri"/>
        </w:rPr>
        <w:t xml:space="preserve">Formlar ve Değerlendirme” </w:t>
      </w:r>
      <w:r w:rsidR="00763D1E">
        <w:rPr>
          <w:rFonts w:eastAsia="Calibri"/>
        </w:rPr>
        <w:t xml:space="preserve">ve “105: Soru &amp; Cevap” </w:t>
      </w:r>
      <w:r w:rsidR="001D2D3A" w:rsidRPr="004B0471">
        <w:rPr>
          <w:rFonts w:eastAsia="Calibri"/>
        </w:rPr>
        <w:t xml:space="preserve">başlıklı </w:t>
      </w:r>
      <w:r w:rsidR="00763D1E">
        <w:rPr>
          <w:rFonts w:eastAsia="Calibri"/>
        </w:rPr>
        <w:t xml:space="preserve">beş </w:t>
      </w:r>
      <w:r w:rsidR="001D2D3A" w:rsidRPr="004B0471">
        <w:rPr>
          <w:rFonts w:eastAsia="Calibri"/>
        </w:rPr>
        <w:t>oturum</w:t>
      </w:r>
      <w:r w:rsidR="007341A7">
        <w:rPr>
          <w:rFonts w:eastAsia="Calibri"/>
        </w:rPr>
        <w:t xml:space="preserve">luk </w:t>
      </w:r>
      <w:r w:rsidR="007341A7" w:rsidRPr="004B0471">
        <w:rPr>
          <w:rFonts w:eastAsia="Calibri"/>
        </w:rPr>
        <w:t xml:space="preserve">ODTÜ MSCA-PF </w:t>
      </w:r>
      <w:r w:rsidR="007341A7" w:rsidRPr="00910234">
        <w:rPr>
          <w:rFonts w:eastAsia="Calibri"/>
          <w:i/>
          <w:iCs/>
        </w:rPr>
        <w:t>Masterclass</w:t>
      </w:r>
      <w:r w:rsidR="007341A7" w:rsidRPr="004B0471">
        <w:rPr>
          <w:rFonts w:eastAsia="Calibri"/>
        </w:rPr>
        <w:t xml:space="preserve"> eğitimlerine katılmıştır.</w:t>
      </w:r>
      <w:r w:rsidR="007341A7">
        <w:rPr>
          <w:rFonts w:eastAsia="Calibri"/>
        </w:rPr>
        <w:t xml:space="preserve"> Bütün bu webinarlar serisi yaklaşık 18 saatlik bir bilgilendirme paketine karşılık gelmektedir.</w:t>
      </w:r>
    </w:p>
    <w:p w14:paraId="79E9E044" w14:textId="22DD43D7" w:rsidR="00A21368" w:rsidRDefault="00423950" w:rsidP="00A47782">
      <w:pPr>
        <w:spacing w:after="120"/>
        <w:jc w:val="both"/>
        <w:rPr>
          <w:rFonts w:eastAsia="Calibri"/>
        </w:rPr>
      </w:pPr>
      <w:r>
        <w:t xml:space="preserve">MSCA-PF programının 2025 çağrısına özel olarak, </w:t>
      </w:r>
      <w:r w:rsidRPr="00423950">
        <w:rPr>
          <w:i/>
          <w:iCs/>
        </w:rPr>
        <w:t>Masterclass</w:t>
      </w:r>
      <w:r>
        <w:t xml:space="preserve"> katılımcılarıyla paylaşılmak üzere başvuru dosyasının ve portalının nasıl doldurulacağına ilişkin yönlendirmeleri ile ev sahibi kurumun sunacağı destek ve imkanları içeren bir “ODTÜ MSCA-PF Bilgi Paketi” hazırlanmıştır.</w:t>
      </w:r>
      <w:r>
        <w:rPr>
          <w:rFonts w:eastAsia="Calibri"/>
        </w:rPr>
        <w:t xml:space="preserve"> </w:t>
      </w:r>
      <w:r w:rsidR="00E279E2" w:rsidRPr="00423950">
        <w:t xml:space="preserve">Buna ek olarak, </w:t>
      </w:r>
      <w:r w:rsidR="00E279E2" w:rsidRPr="00423950">
        <w:rPr>
          <w:i/>
          <w:iCs/>
        </w:rPr>
        <w:t>Masterclass</w:t>
      </w:r>
      <w:r w:rsidR="00E279E2" w:rsidRPr="00423950">
        <w:t xml:space="preserve"> eğitimlerine katılan adaylar için, adayların başvuru dosyalarını iletmeleri halinde en az bir kez; dosyalarını geliştirip yeniden göndermeleri durumunda ise iki kez, başvurularının çağrı beklentilerini karşılama düzeyini ve güçlendirilebilecek yönlerini ortaya koyan, yapay zekâ tabanlı ve uzmanlar tarafından doğrulanmış ön değerlendirme raporları hazırlanmıştır.</w:t>
      </w:r>
      <w:r w:rsidR="00A21368" w:rsidRPr="00423950">
        <w:t xml:space="preserve"> MSCA-PF programının 2025 çağrısına başvuran sekiz adayın büyük bir kısmına bu destek iki aşamalı olarak sunulmuştur. Ayrıca, talep eden adaylar için aynı kapsamlı destek, MSCA-PF modelini esas alan TÜBİTAK BİDEB 2236 programı başvurularında da sağlanmıştır.</w:t>
      </w:r>
    </w:p>
    <w:p w14:paraId="4BC6C5F3" w14:textId="6E50F7BE" w:rsidR="005B5DE6" w:rsidRPr="00492491" w:rsidRDefault="00A112CE" w:rsidP="00A47782">
      <w:pPr>
        <w:spacing w:after="120"/>
        <w:jc w:val="both"/>
        <w:rPr>
          <w:rFonts w:eastAsia="Calibri"/>
          <w:highlight w:val="yellow"/>
        </w:rPr>
      </w:pPr>
      <w:r w:rsidRPr="00351A9E">
        <w:rPr>
          <w:rFonts w:eastAsia="Calibri"/>
          <w:u w:val="single"/>
        </w:rPr>
        <w:t>ODTÜ ERC Pusula Programı</w:t>
      </w:r>
      <w:r w:rsidRPr="004B0471">
        <w:rPr>
          <w:rFonts w:eastAsia="Calibri"/>
        </w:rPr>
        <w:t>, ERC başvurularında başarıyı belirleyen kritik kavramları, görünmeyen dinamikleri ve hakem beklentilerini adaylara aktaran yenilikçi bir destek çerçevesi olarak kurgulan</w:t>
      </w:r>
      <w:r w:rsidR="004E20DD" w:rsidRPr="004B0471">
        <w:rPr>
          <w:rFonts w:eastAsia="Calibri"/>
        </w:rPr>
        <w:t>mıştır</w:t>
      </w:r>
      <w:r w:rsidR="005B5DE6">
        <w:rPr>
          <w:rFonts w:eastAsia="Calibri"/>
        </w:rPr>
        <w:t>. B</w:t>
      </w:r>
      <w:r w:rsidRPr="004B0471">
        <w:rPr>
          <w:rFonts w:eastAsia="Calibri"/>
        </w:rPr>
        <w:t xml:space="preserve">u kapsamda araştırmacı–proje uyumunu </w:t>
      </w:r>
      <w:r w:rsidR="004E20DD" w:rsidRPr="004B0471">
        <w:rPr>
          <w:rFonts w:eastAsia="Calibri"/>
        </w:rPr>
        <w:t xml:space="preserve">değerlendirme </w:t>
      </w:r>
      <w:r w:rsidR="00A47782" w:rsidRPr="004B0471">
        <w:rPr>
          <w:rFonts w:eastAsia="Calibri"/>
        </w:rPr>
        <w:t>imkânı</w:t>
      </w:r>
      <w:r w:rsidRPr="004B0471">
        <w:rPr>
          <w:rFonts w:eastAsia="Calibri"/>
        </w:rPr>
        <w:t xml:space="preserve"> veren “ERC’ye Hazır mıyım?” öz-değerlendirme aracı geliştiril</w:t>
      </w:r>
      <w:r w:rsidR="004E20DD" w:rsidRPr="004B0471">
        <w:rPr>
          <w:rFonts w:eastAsia="Calibri"/>
        </w:rPr>
        <w:t>miş</w:t>
      </w:r>
      <w:r w:rsidR="005B5DE6">
        <w:rPr>
          <w:rFonts w:eastAsia="Calibri"/>
        </w:rPr>
        <w:t xml:space="preserve">tir. Dahası, </w:t>
      </w:r>
      <w:r w:rsidRPr="004B0471">
        <w:rPr>
          <w:rFonts w:eastAsia="Calibri"/>
        </w:rPr>
        <w:t>“</w:t>
      </w:r>
      <w:r w:rsidR="005B5DE6">
        <w:rPr>
          <w:rFonts w:eastAsia="Calibri"/>
        </w:rPr>
        <w:t xml:space="preserve">ERC-101: </w:t>
      </w:r>
      <w:r w:rsidRPr="004B0471">
        <w:rPr>
          <w:rFonts w:eastAsia="Calibri"/>
        </w:rPr>
        <w:t>Bilinmeyenler Günü”, “</w:t>
      </w:r>
      <w:r w:rsidR="005B5DE6">
        <w:rPr>
          <w:rFonts w:eastAsia="Calibri"/>
        </w:rPr>
        <w:t xml:space="preserve">ERC-102: </w:t>
      </w:r>
      <w:r w:rsidRPr="004B0471">
        <w:rPr>
          <w:rFonts w:eastAsia="Calibri"/>
        </w:rPr>
        <w:t>Araştırmacının Mükemmeliyeti”, “</w:t>
      </w:r>
      <w:r w:rsidR="005B5DE6">
        <w:rPr>
          <w:rFonts w:eastAsia="Calibri"/>
        </w:rPr>
        <w:t xml:space="preserve">ERC-103: </w:t>
      </w:r>
      <w:r w:rsidRPr="004B0471">
        <w:rPr>
          <w:rFonts w:eastAsia="Calibri"/>
        </w:rPr>
        <w:t>Araştırmanın Mükemmeliyeti” ve “</w:t>
      </w:r>
      <w:r w:rsidR="005B5DE6">
        <w:rPr>
          <w:rFonts w:eastAsia="Calibri"/>
        </w:rPr>
        <w:t xml:space="preserve">ERC-104: </w:t>
      </w:r>
      <w:r w:rsidRPr="004B0471">
        <w:rPr>
          <w:rFonts w:eastAsia="Calibri"/>
        </w:rPr>
        <w:t xml:space="preserve">Formlar ve Değerlendirme” başlıklı dört oturumdan oluşan ODTÜ ERC </w:t>
      </w:r>
      <w:r w:rsidRPr="00910234">
        <w:rPr>
          <w:rFonts w:eastAsia="Calibri"/>
          <w:i/>
          <w:iCs/>
        </w:rPr>
        <w:t>Masterclass</w:t>
      </w:r>
      <w:r w:rsidRPr="004B0471">
        <w:rPr>
          <w:rFonts w:eastAsia="Calibri"/>
        </w:rPr>
        <w:t xml:space="preserve"> eğitimi </w:t>
      </w:r>
      <w:r w:rsidR="004E20DD" w:rsidRPr="004B0471">
        <w:rPr>
          <w:rFonts w:eastAsia="Calibri"/>
        </w:rPr>
        <w:t>verilmiştir.</w:t>
      </w:r>
    </w:p>
    <w:p w14:paraId="66AF0209" w14:textId="553069DD" w:rsidR="005B5DE6" w:rsidRDefault="005B5DE6" w:rsidP="00A47782">
      <w:pPr>
        <w:spacing w:after="120"/>
        <w:jc w:val="both"/>
        <w:rPr>
          <w:rFonts w:eastAsia="Calibri"/>
        </w:rPr>
      </w:pPr>
      <w:r>
        <w:rPr>
          <w:rFonts w:eastAsia="Calibri"/>
        </w:rPr>
        <w:t xml:space="preserve">Ayrıca </w:t>
      </w:r>
      <w:r w:rsidRPr="005B5DE6">
        <w:rPr>
          <w:rFonts w:eastAsia="Calibri"/>
        </w:rPr>
        <w:t>hâlihazırda ERC projesi bulunan 6 öğretim üyesi</w:t>
      </w:r>
      <w:r>
        <w:rPr>
          <w:rFonts w:eastAsia="Calibri"/>
        </w:rPr>
        <w:t xml:space="preserve">ne </w:t>
      </w:r>
      <w:r w:rsidRPr="005B5DE6">
        <w:rPr>
          <w:rFonts w:eastAsia="Calibri"/>
        </w:rPr>
        <w:t>“</w:t>
      </w:r>
      <w:r w:rsidRPr="005B5DE6">
        <w:rPr>
          <w:rFonts w:eastAsia="Calibri"/>
          <w:i/>
          <w:iCs/>
        </w:rPr>
        <w:t>Life after ERC</w:t>
      </w:r>
      <w:r w:rsidRPr="005B5DE6">
        <w:rPr>
          <w:rFonts w:eastAsia="Calibri"/>
        </w:rPr>
        <w:t xml:space="preserve">” adı altında ERC projelerinden sonra faydalanabilecekleri çeşitli Ufuk Avrupa programları hakkında detaylı </w:t>
      </w:r>
      <w:r>
        <w:rPr>
          <w:rFonts w:eastAsia="Calibri"/>
        </w:rPr>
        <w:t>bir sunum gerçekleştirilmiştir. Bütün bu webinarlar serisi yaklaşık 10 saati geç</w:t>
      </w:r>
      <w:r w:rsidR="00B20D9F">
        <w:rPr>
          <w:rFonts w:eastAsia="Calibri"/>
        </w:rPr>
        <w:t xml:space="preserve">en </w:t>
      </w:r>
      <w:r>
        <w:rPr>
          <w:rFonts w:eastAsia="Calibri"/>
        </w:rPr>
        <w:t>bir bilgilendirme paketine karşılık gelmektedir.</w:t>
      </w:r>
    </w:p>
    <w:p w14:paraId="49106AA9" w14:textId="6C3D7601" w:rsidR="007170F8" w:rsidRPr="007170F8" w:rsidRDefault="00986E4B" w:rsidP="00A47782">
      <w:pPr>
        <w:spacing w:after="120"/>
        <w:jc w:val="both"/>
        <w:rPr>
          <w:color w:val="222222"/>
          <w:shd w:val="clear" w:color="auto" w:fill="FFFFFF"/>
        </w:rPr>
      </w:pPr>
      <w:r>
        <w:rPr>
          <w:rFonts w:eastAsia="Calibri"/>
        </w:rPr>
        <w:t xml:space="preserve">ODTÜ ERC Pusula Programı kapsamında </w:t>
      </w:r>
      <w:r w:rsidR="00A112CE" w:rsidRPr="004B0471">
        <w:rPr>
          <w:rFonts w:eastAsia="Calibri"/>
        </w:rPr>
        <w:t>2025</w:t>
      </w:r>
      <w:r w:rsidR="00B3746F">
        <w:rPr>
          <w:rFonts w:eastAsia="Calibri"/>
        </w:rPr>
        <w:t>-</w:t>
      </w:r>
      <w:r w:rsidR="00A112CE" w:rsidRPr="004B0471">
        <w:rPr>
          <w:rFonts w:eastAsia="Calibri"/>
        </w:rPr>
        <w:t xml:space="preserve">2026 ERC adaylarıyla birebir görüşmeler </w:t>
      </w:r>
      <w:r>
        <w:rPr>
          <w:rFonts w:eastAsia="Calibri"/>
        </w:rPr>
        <w:t>yapılmış</w:t>
      </w:r>
      <w:r w:rsidR="00DA58F0">
        <w:rPr>
          <w:rFonts w:eastAsia="Calibri"/>
        </w:rPr>
        <w:t xml:space="preserve">, talep etmeleri halinde </w:t>
      </w:r>
      <w:r w:rsidR="00DA58F0" w:rsidRPr="00423950">
        <w:t>yapay zekâ tabanlı ve uzmanlar tarafından doğrulanmış ön değerlendirme raporları hazırlanmı</w:t>
      </w:r>
      <w:r w:rsidR="00DA58F0">
        <w:t xml:space="preserve">ş; </w:t>
      </w:r>
      <w:r w:rsidR="00A112CE" w:rsidRPr="004B0471">
        <w:rPr>
          <w:rFonts w:eastAsia="Calibri"/>
        </w:rPr>
        <w:t>bir adayın mülakat süreci desteklenmiş ve hâlihazırda ERC projesi bulunan 6 öğretim üyesiyle “</w:t>
      </w:r>
      <w:r w:rsidR="00A112CE" w:rsidRPr="00986E4B">
        <w:rPr>
          <w:rFonts w:eastAsia="Calibri"/>
          <w:i/>
          <w:iCs/>
        </w:rPr>
        <w:t>Life after ERC</w:t>
      </w:r>
      <w:r w:rsidR="00A112CE" w:rsidRPr="004B0471">
        <w:rPr>
          <w:rFonts w:eastAsia="Calibri"/>
        </w:rPr>
        <w:t>” kapsamında düzenli mentorluk görüşmeleri yürütülmeye başlanmıştır.</w:t>
      </w:r>
      <w:r w:rsidR="00B3746F">
        <w:rPr>
          <w:rFonts w:eastAsia="Calibri"/>
        </w:rPr>
        <w:t xml:space="preserve"> </w:t>
      </w:r>
      <w:r w:rsidR="00B3746F" w:rsidRPr="00B3746F">
        <w:rPr>
          <w:color w:val="222222"/>
          <w:shd w:val="clear" w:color="auto" w:fill="FFFFFF"/>
        </w:rPr>
        <w:t>2026-2027 döneminde başvurmak üzere halihazırda hazırlık içinde olunan 7 aday bulunmaktadır.</w:t>
      </w:r>
    </w:p>
    <w:p w14:paraId="2D582646" w14:textId="1A91ADE3" w:rsidR="002C6D2B" w:rsidRPr="005D4632" w:rsidRDefault="002C6D2B" w:rsidP="00A47782">
      <w:pPr>
        <w:spacing w:after="120"/>
        <w:jc w:val="both"/>
        <w:rPr>
          <w:rFonts w:cstheme="minorHAnsi"/>
          <w:color w:val="222222"/>
          <w:shd w:val="clear" w:color="auto" w:fill="FFFFFF"/>
        </w:rPr>
      </w:pPr>
      <w:r>
        <w:rPr>
          <w:rFonts w:cstheme="minorHAnsi"/>
          <w:color w:val="222222"/>
          <w:shd w:val="clear" w:color="auto" w:fill="FFFFFF"/>
        </w:rPr>
        <w:t>Her iki Pusula P</w:t>
      </w:r>
      <w:r>
        <w:t>rogramı</w:t>
      </w:r>
      <w:r w:rsidR="002E5489">
        <w:t xml:space="preserve"> kapsamında </w:t>
      </w:r>
      <w:r>
        <w:rPr>
          <w:rFonts w:cstheme="minorHAnsi"/>
          <w:color w:val="222222"/>
          <w:shd w:val="clear" w:color="auto" w:fill="FFFFFF"/>
        </w:rPr>
        <w:t xml:space="preserve">da 2025-2026 yılı MSCA-PF ve ERC çağrıları kapsamında ODTÜ </w:t>
      </w:r>
      <w:r w:rsidR="002E5489">
        <w:rPr>
          <w:rFonts w:cstheme="minorHAnsi"/>
          <w:color w:val="222222"/>
          <w:shd w:val="clear" w:color="auto" w:fill="FFFFFF"/>
        </w:rPr>
        <w:t xml:space="preserve">ev sahipliğinde yapılan başvurularda </w:t>
      </w:r>
      <w:r>
        <w:rPr>
          <w:rFonts w:cstheme="minorHAnsi"/>
          <w:color w:val="222222"/>
          <w:shd w:val="clear" w:color="auto" w:fill="FFFFFF"/>
        </w:rPr>
        <w:t xml:space="preserve">TÜBİTAK Destek Programları (MSCA Proje Ön Değerlendirme Desteği ve ERC Baş Araştırmacı </w:t>
      </w:r>
      <w:r w:rsidRPr="00AD34A7">
        <w:rPr>
          <w:rFonts w:cstheme="minorHAnsi"/>
          <w:color w:val="222222"/>
          <w:shd w:val="clear" w:color="auto" w:fill="FFFFFF"/>
        </w:rPr>
        <w:t xml:space="preserve">Geliştirme Programı) </w:t>
      </w:r>
      <w:r w:rsidR="005A5A2E">
        <w:rPr>
          <w:rFonts w:cstheme="minorHAnsi"/>
          <w:color w:val="222222"/>
          <w:shd w:val="clear" w:color="auto" w:fill="FFFFFF"/>
        </w:rPr>
        <w:t xml:space="preserve">aracılığıyla </w:t>
      </w:r>
      <w:r w:rsidRPr="00AD34A7">
        <w:rPr>
          <w:rFonts w:cstheme="minorHAnsi"/>
          <w:color w:val="222222"/>
          <w:shd w:val="clear" w:color="auto" w:fill="FFFFFF"/>
        </w:rPr>
        <w:t>danışmanlık hizmeti alma</w:t>
      </w:r>
      <w:r w:rsidR="002E5489" w:rsidRPr="00AD34A7">
        <w:rPr>
          <w:rFonts w:cstheme="minorHAnsi"/>
          <w:color w:val="222222"/>
          <w:shd w:val="clear" w:color="auto" w:fill="FFFFFF"/>
        </w:rPr>
        <w:t>k yerine kurum-içi tecrübeyle adayların</w:t>
      </w:r>
      <w:r w:rsidR="002E5489">
        <w:rPr>
          <w:rFonts w:cstheme="minorHAnsi"/>
          <w:color w:val="222222"/>
          <w:shd w:val="clear" w:color="auto" w:fill="FFFFFF"/>
        </w:rPr>
        <w:t xml:space="preserve"> desteklenmesi hedeflenmiştir. </w:t>
      </w:r>
      <w:r w:rsidR="005D4632">
        <w:rPr>
          <w:rFonts w:cstheme="minorHAnsi"/>
          <w:color w:val="222222"/>
          <w:shd w:val="clear" w:color="auto" w:fill="FFFFFF"/>
        </w:rPr>
        <w:t xml:space="preserve">Proje Geliştirme Ofisi ekibinin geliştirdiği </w:t>
      </w:r>
      <w:r w:rsidR="005D4632" w:rsidRPr="00423950">
        <w:t xml:space="preserve">yapay zekâ tabanlı ve uzmanlar tarafından doğrulanmış ön değerlendirme raporları </w:t>
      </w:r>
      <w:r w:rsidR="005D4632">
        <w:t xml:space="preserve">bu kurum-içi destek mekanizmasını etkin </w:t>
      </w:r>
      <w:r w:rsidR="005D4632">
        <w:lastRenderedPageBreak/>
        <w:t>ve verimli şekilde güçlendirmiştir.</w:t>
      </w:r>
      <w:r w:rsidR="005D4632">
        <w:rPr>
          <w:rFonts w:cstheme="minorHAnsi"/>
          <w:color w:val="222222"/>
          <w:shd w:val="clear" w:color="auto" w:fill="FFFFFF"/>
        </w:rPr>
        <w:t xml:space="preserve"> </w:t>
      </w:r>
      <w:r w:rsidR="002E5489">
        <w:rPr>
          <w:rFonts w:cstheme="minorHAnsi"/>
          <w:color w:val="222222"/>
          <w:shd w:val="clear" w:color="auto" w:fill="FFFFFF"/>
        </w:rPr>
        <w:t xml:space="preserve">Bu </w:t>
      </w:r>
      <w:r>
        <w:rPr>
          <w:rFonts w:cstheme="minorHAnsi"/>
          <w:color w:val="222222"/>
          <w:shd w:val="clear" w:color="auto" w:fill="FFFFFF"/>
        </w:rPr>
        <w:t xml:space="preserve">yenilikçi </w:t>
      </w:r>
      <w:r w:rsidR="000F752F">
        <w:rPr>
          <w:rFonts w:cstheme="minorHAnsi"/>
          <w:color w:val="222222"/>
          <w:shd w:val="clear" w:color="auto" w:fill="FFFFFF"/>
        </w:rPr>
        <w:t>perspektifle</w:t>
      </w:r>
      <w:r>
        <w:rPr>
          <w:rFonts w:cstheme="minorHAnsi"/>
          <w:color w:val="222222"/>
          <w:shd w:val="clear" w:color="auto" w:fill="FFFFFF"/>
        </w:rPr>
        <w:t xml:space="preserve"> hem başvuru sayılarını hem de </w:t>
      </w:r>
      <w:r w:rsidRPr="00BE748E">
        <w:t>araştırmacıları</w:t>
      </w:r>
      <w:r w:rsidR="002E5489">
        <w:t>n</w:t>
      </w:r>
      <w:r w:rsidRPr="00BE748E">
        <w:t xml:space="preserve"> başvuru başarılarını artırmak ve ODTÜ’yü bu uluslararası fonlar nezdinde daha görünür kılmak</w:t>
      </w:r>
      <w:r w:rsidR="002E5489">
        <w:t xml:space="preserve"> amaçlanmaktadır</w:t>
      </w:r>
      <w:r w:rsidRPr="00BE748E">
        <w:t>.</w:t>
      </w:r>
    </w:p>
    <w:p w14:paraId="191D1B41" w14:textId="77777777" w:rsidR="00C240DD" w:rsidRDefault="00E90735" w:rsidP="00C240DD">
      <w:pPr>
        <w:spacing w:after="120"/>
        <w:jc w:val="both"/>
        <w:rPr>
          <w:rFonts w:eastAsia="Calibri"/>
        </w:rPr>
      </w:pPr>
      <w:r w:rsidRPr="00265351">
        <w:rPr>
          <w:rFonts w:eastAsia="Calibri"/>
        </w:rPr>
        <w:t xml:space="preserve">Birimimiz 2025 yılında Ufuk Avrupa Programı </w:t>
      </w:r>
      <w:r>
        <w:rPr>
          <w:rFonts w:eastAsia="Calibri"/>
        </w:rPr>
        <w:t xml:space="preserve">kapsamında </w:t>
      </w:r>
      <w:r w:rsidR="00F638C0">
        <w:rPr>
          <w:rFonts w:eastAsia="Calibri"/>
        </w:rPr>
        <w:t xml:space="preserve">konsorsiyum </w:t>
      </w:r>
      <w:r>
        <w:rPr>
          <w:rFonts w:eastAsia="Calibri"/>
        </w:rPr>
        <w:t>koordinatör</w:t>
      </w:r>
      <w:r w:rsidR="00F638C0">
        <w:rPr>
          <w:rFonts w:eastAsia="Calibri"/>
        </w:rPr>
        <w:t>ü</w:t>
      </w:r>
      <w:r>
        <w:rPr>
          <w:rFonts w:eastAsia="Calibri"/>
        </w:rPr>
        <w:t xml:space="preserve"> olarak başvuru yapan ODTÜ araştırmacılarına ilk defa bilgilendirmenin ötesinde birebir proje geliştirme desteği vermiştir</w:t>
      </w:r>
      <w:r w:rsidRPr="00265351">
        <w:rPr>
          <w:rFonts w:eastAsia="Calibri"/>
        </w:rPr>
        <w:t>:</w:t>
      </w:r>
    </w:p>
    <w:p w14:paraId="6FA294E7" w14:textId="5315FF37" w:rsidR="00995619" w:rsidRPr="00995619" w:rsidRDefault="002E5489" w:rsidP="00A47782">
      <w:pPr>
        <w:spacing w:after="120"/>
        <w:jc w:val="both"/>
        <w:rPr>
          <w:rFonts w:eastAsia="Calibri"/>
          <w:b/>
          <w:bCs/>
        </w:rPr>
      </w:pPr>
      <w:r w:rsidRPr="003A6487">
        <w:rPr>
          <w:rFonts w:eastAsia="Calibri"/>
          <w:b/>
          <w:bCs/>
        </w:rPr>
        <w:t xml:space="preserve">ODTÜ </w:t>
      </w:r>
      <w:r>
        <w:rPr>
          <w:rFonts w:eastAsia="Calibri"/>
          <w:b/>
          <w:bCs/>
        </w:rPr>
        <w:t xml:space="preserve">Koordinatörlük Destek Paketi: </w:t>
      </w:r>
      <w:r w:rsidR="00995619">
        <w:t>2025 yılında, Araştırmalar Koordinatörlüğü altında tekrar canlandırılan Proje Geliştirme Ofisi ile konsorsiyum koordinatörü adaylarına yalnızca bilgi vermekle kalmayıp başvuru kalitesini ve başarı oranını artırmayı hedefleyen yapılandırılmış ve çok kapsamlı bir destek mekanizması kurulmuştur. Bu mekanizma çerçevesinde, Proje Geliştirme Ofisi ekibi uzmanları; başvuru dosyalarının “</w:t>
      </w:r>
      <w:r w:rsidR="00995619" w:rsidRPr="00995619">
        <w:rPr>
          <w:b/>
          <w:bCs/>
        </w:rPr>
        <w:t>vazgeçilmez unsurları</w:t>
      </w:r>
      <w:r w:rsidR="00995619">
        <w:t>” olarak tanımlanan kritik yatay gereklilikler (örneğin uygunluk, veri yönetimi, açık bilim, etik, cinsiyet ve sosyal bilimler boyutu gibi konuların) değerlendirmesini içeren yapay zekâ tabanlı analiz raporları hazırlamış; bu analizleri doğrulayarak (</w:t>
      </w:r>
      <w:r w:rsidR="00995619" w:rsidRPr="00995619">
        <w:rPr>
          <w:i/>
          <w:iCs/>
        </w:rPr>
        <w:t>human-verified</w:t>
      </w:r>
      <w:r w:rsidR="00995619">
        <w:t xml:space="preserve">) koordinatör adaylarına kapsamlı geri bildirim ve yönlendirme desteği sunmuştur. Bu kapsamda, Kümeler, Misyonlar ve WIDERA bileşenleri altında hazırlanan </w:t>
      </w:r>
      <w:r w:rsidR="00AB505D">
        <w:t>ve halen değerlendirme aşamasında olan altı</w:t>
      </w:r>
      <w:r w:rsidR="00995619">
        <w:t xml:space="preserve"> başvuruya doğrudan destek sağlanmış</w:t>
      </w:r>
      <w:r w:rsidR="00FA3AF0">
        <w:t>tır</w:t>
      </w:r>
      <w:r w:rsidR="00235B7A">
        <w:t>. A</w:t>
      </w:r>
      <w:r w:rsidR="00995619">
        <w:t>yrıca 2026 yılında açılacak WIDERA-Twinning çağrısına yönelik aynı desteğin sunulması planlanmıştır</w:t>
      </w:r>
      <w:r w:rsidR="00235B7A">
        <w:t xml:space="preserve"> ve </w:t>
      </w:r>
      <w:r w:rsidR="00C40F04" w:rsidRPr="00B3746F">
        <w:rPr>
          <w:color w:val="222222"/>
          <w:shd w:val="clear" w:color="auto" w:fill="FFFFFF"/>
        </w:rPr>
        <w:t xml:space="preserve">başvurmak üzere halihazırda hazırlık içinde </w:t>
      </w:r>
      <w:r w:rsidR="00235B7A">
        <w:rPr>
          <w:color w:val="222222"/>
          <w:shd w:val="clear" w:color="auto" w:fill="FFFFFF"/>
        </w:rPr>
        <w:t xml:space="preserve">olunan beş </w:t>
      </w:r>
      <w:r w:rsidR="00C40F04">
        <w:rPr>
          <w:color w:val="222222"/>
          <w:shd w:val="clear" w:color="auto" w:fill="FFFFFF"/>
        </w:rPr>
        <w:t>ekip</w:t>
      </w:r>
      <w:r w:rsidR="00C40F04" w:rsidRPr="00B3746F">
        <w:rPr>
          <w:color w:val="222222"/>
          <w:shd w:val="clear" w:color="auto" w:fill="FFFFFF"/>
        </w:rPr>
        <w:t xml:space="preserve"> bulunmaktadır.</w:t>
      </w:r>
      <w:r w:rsidR="00C40F04">
        <w:rPr>
          <w:color w:val="222222"/>
          <w:shd w:val="clear" w:color="auto" w:fill="FFFFFF"/>
        </w:rPr>
        <w:t xml:space="preserve"> </w:t>
      </w:r>
      <w:r w:rsidR="00995619">
        <w:t>Bu yaklaşım, ODTÜ ev sahipliğinde yapılan başvurularda dış danışmanlık hizmetlerinden ziyade kurum içi uzmanlığın etkin şekilde kullanılmasını sağlamayı ve hem başvuru sayılarını hem de başarılı başvuru oranlarını artırarak ODTÜ’yü uluslararası fonlar nezdinde daha görünür kılmayı amaçlamıştır.</w:t>
      </w:r>
    </w:p>
    <w:p w14:paraId="2657A6A7" w14:textId="5D79934C" w:rsidR="00F14C6F" w:rsidRPr="00F14C6F" w:rsidRDefault="00F14C6F" w:rsidP="00F14C6F">
      <w:pPr>
        <w:spacing w:after="120"/>
        <w:jc w:val="both"/>
        <w:rPr>
          <w:rFonts w:eastAsia="Calibri"/>
          <w:bCs/>
        </w:rPr>
      </w:pPr>
      <w:r>
        <w:rPr>
          <w:rFonts w:eastAsia="Calibri"/>
          <w:bCs/>
        </w:rPr>
        <w:t>Yapılan başvurulara ve elde edilen başarılara örnekler:</w:t>
      </w:r>
    </w:p>
    <w:p w14:paraId="3961913C" w14:textId="180667C3" w:rsidR="00CA3F91" w:rsidRPr="00CA3F91" w:rsidRDefault="00CA3F91" w:rsidP="00CA3F91">
      <w:pPr>
        <w:pStyle w:val="ListeParagraf"/>
        <w:numPr>
          <w:ilvl w:val="0"/>
          <w:numId w:val="14"/>
        </w:numPr>
        <w:spacing w:after="120"/>
        <w:jc w:val="both"/>
        <w:rPr>
          <w:rFonts w:eastAsia="Calibri"/>
          <w:lang w:val="tr-TR"/>
        </w:rPr>
      </w:pPr>
      <w:r w:rsidRPr="00CA3F91">
        <w:rPr>
          <w:rFonts w:eastAsia="Calibri"/>
          <w:lang w:val="tr-TR"/>
        </w:rPr>
        <w:t xml:space="preserve">Avrupa Birliği COST Programı’nda ODTÜ </w:t>
      </w:r>
      <w:r>
        <w:rPr>
          <w:rFonts w:eastAsia="Calibri"/>
          <w:lang w:val="tr-TR"/>
        </w:rPr>
        <w:t xml:space="preserve">konsorsiyum koordinatörlüğünde </w:t>
      </w:r>
      <w:r w:rsidRPr="00CA3F91">
        <w:rPr>
          <w:rFonts w:eastAsia="Calibri"/>
          <w:lang w:val="tr-TR"/>
        </w:rPr>
        <w:t>önerisi</w:t>
      </w:r>
      <w:r>
        <w:rPr>
          <w:rFonts w:eastAsia="Calibri"/>
          <w:lang w:val="tr-TR"/>
        </w:rPr>
        <w:t xml:space="preserve"> sunulan </w:t>
      </w:r>
      <w:r w:rsidRPr="00CA3F91">
        <w:rPr>
          <w:rFonts w:eastAsia="Calibri"/>
          <w:lang w:val="tr-TR"/>
        </w:rPr>
        <w:t xml:space="preserve">bir aksiyon kabul almış olup, bu Üniversitemizin koordine edeceği ilk COST Aksiyonu olacağı için büyük önem taşımaktadır. </w:t>
      </w:r>
    </w:p>
    <w:p w14:paraId="26F546C9" w14:textId="77777777" w:rsidR="00C240DD" w:rsidRPr="00A1499C" w:rsidRDefault="00674A48" w:rsidP="0013648D">
      <w:pPr>
        <w:pStyle w:val="ListeParagraf"/>
        <w:numPr>
          <w:ilvl w:val="0"/>
          <w:numId w:val="14"/>
        </w:numPr>
        <w:spacing w:after="120"/>
        <w:jc w:val="both"/>
        <w:rPr>
          <w:color w:val="222222"/>
          <w:shd w:val="clear" w:color="auto" w:fill="FFFFFF"/>
          <w:lang w:val="tr-TR"/>
        </w:rPr>
      </w:pPr>
      <w:r w:rsidRPr="00A1499C">
        <w:rPr>
          <w:color w:val="222222"/>
          <w:shd w:val="clear" w:color="auto" w:fill="FFFFFF"/>
          <w:lang w:val="tr-TR"/>
        </w:rPr>
        <w:t xml:space="preserve">2025 yılında </w:t>
      </w:r>
      <w:r w:rsidR="00DE1C59" w:rsidRPr="00A1499C">
        <w:rPr>
          <w:color w:val="222222"/>
          <w:shd w:val="clear" w:color="auto" w:fill="FFFFFF"/>
          <w:lang w:val="tr-TR"/>
        </w:rPr>
        <w:t xml:space="preserve">Marie Skłodowska Curie (MSCA) çağrılarına toplam </w:t>
      </w:r>
      <w:r w:rsidR="00F33A1A" w:rsidRPr="00A1499C">
        <w:rPr>
          <w:color w:val="222222"/>
          <w:shd w:val="clear" w:color="auto" w:fill="FFFFFF"/>
          <w:lang w:val="tr-TR"/>
        </w:rPr>
        <w:t>33</w:t>
      </w:r>
      <w:r w:rsidR="00DE1C59" w:rsidRPr="00A1499C">
        <w:rPr>
          <w:color w:val="222222"/>
          <w:shd w:val="clear" w:color="auto" w:fill="FFFFFF"/>
          <w:lang w:val="tr-TR"/>
        </w:rPr>
        <w:t xml:space="preserve"> başvuru olmuştur: MSCA-</w:t>
      </w:r>
      <w:r w:rsidR="00274007" w:rsidRPr="00A1499C">
        <w:rPr>
          <w:color w:val="222222"/>
          <w:shd w:val="clear" w:color="auto" w:fill="FFFFFF"/>
          <w:lang w:val="tr-TR"/>
        </w:rPr>
        <w:t>CITIZENS</w:t>
      </w:r>
      <w:r w:rsidR="00F33A1A" w:rsidRPr="00A1499C">
        <w:rPr>
          <w:color w:val="222222"/>
          <w:shd w:val="clear" w:color="auto" w:fill="FFFFFF"/>
          <w:lang w:val="tr-TR"/>
        </w:rPr>
        <w:t xml:space="preserve"> çağrısına koordinatör olarak 1</w:t>
      </w:r>
      <w:r w:rsidR="00DE1C59" w:rsidRPr="00A1499C">
        <w:rPr>
          <w:color w:val="222222"/>
          <w:shd w:val="clear" w:color="auto" w:fill="FFFFFF"/>
          <w:lang w:val="tr-TR"/>
        </w:rPr>
        <w:t xml:space="preserve">; </w:t>
      </w:r>
      <w:r w:rsidR="00F33A1A" w:rsidRPr="00A1499C">
        <w:rPr>
          <w:color w:val="222222"/>
          <w:shd w:val="clear" w:color="auto" w:fill="FFFFFF"/>
          <w:lang w:val="tr-TR"/>
        </w:rPr>
        <w:t xml:space="preserve">program yılı 2024 olmasına rağmen son başvuru tarihi 2025 yılında olan MSCA-SE çağrısına ikisinde </w:t>
      </w:r>
      <w:r w:rsidR="00DE1C59" w:rsidRPr="00A1499C">
        <w:rPr>
          <w:color w:val="222222"/>
          <w:shd w:val="clear" w:color="auto" w:fill="FFFFFF"/>
          <w:lang w:val="tr-TR"/>
        </w:rPr>
        <w:t xml:space="preserve">koordinatör olarak toplam </w:t>
      </w:r>
      <w:r w:rsidR="00F33A1A" w:rsidRPr="00A1499C">
        <w:rPr>
          <w:color w:val="222222"/>
          <w:shd w:val="clear" w:color="auto" w:fill="FFFFFF"/>
          <w:lang w:val="tr-TR"/>
        </w:rPr>
        <w:t xml:space="preserve">6 (kabul sayısı sıfırdır); program yılı 2025 olan MSCA-SE çağrısına üçünde koordinatör olarak toplam 7; </w:t>
      </w:r>
      <w:r w:rsidR="00DE1C59" w:rsidRPr="00A1499C">
        <w:rPr>
          <w:color w:val="222222"/>
          <w:shd w:val="clear" w:color="auto" w:fill="FFFFFF"/>
          <w:lang w:val="tr-TR"/>
        </w:rPr>
        <w:t>MSCA-DN</w:t>
      </w:r>
      <w:r w:rsidR="00F33A1A" w:rsidRPr="00A1499C">
        <w:rPr>
          <w:color w:val="222222"/>
          <w:shd w:val="clear" w:color="auto" w:fill="FFFFFF"/>
          <w:lang w:val="tr-TR"/>
        </w:rPr>
        <w:t xml:space="preserve"> çağrısına ikisinde koordinatör olarak toplam 11</w:t>
      </w:r>
      <w:r w:rsidR="00DE1C59" w:rsidRPr="00A1499C">
        <w:rPr>
          <w:color w:val="222222"/>
          <w:shd w:val="clear" w:color="auto" w:fill="FFFFFF"/>
          <w:lang w:val="tr-TR"/>
        </w:rPr>
        <w:t>, ve MSCA-PF</w:t>
      </w:r>
      <w:r w:rsidR="00F33A1A" w:rsidRPr="00A1499C">
        <w:rPr>
          <w:color w:val="222222"/>
          <w:shd w:val="clear" w:color="auto" w:fill="FFFFFF"/>
          <w:lang w:val="tr-TR"/>
        </w:rPr>
        <w:t xml:space="preserve"> çağrısına 8</w:t>
      </w:r>
      <w:r w:rsidR="00DE1C59" w:rsidRPr="00A1499C">
        <w:rPr>
          <w:color w:val="222222"/>
          <w:shd w:val="clear" w:color="auto" w:fill="FFFFFF"/>
          <w:lang w:val="tr-TR"/>
        </w:rPr>
        <w:t>.</w:t>
      </w:r>
      <w:r w:rsidR="008A7099" w:rsidRPr="00A1499C">
        <w:rPr>
          <w:color w:val="222222"/>
          <w:shd w:val="clear" w:color="auto" w:fill="FFFFFF"/>
          <w:lang w:val="tr-TR"/>
        </w:rPr>
        <w:t xml:space="preserve"> MSCA programının 2025 yılı çağrılarına yapılan başvurular halen değerlendirme aşamasındadır.</w:t>
      </w:r>
    </w:p>
    <w:p w14:paraId="40BC22EF" w14:textId="77777777" w:rsidR="00C240DD" w:rsidRPr="00A1499C" w:rsidRDefault="00AA23B3" w:rsidP="0013648D">
      <w:pPr>
        <w:pStyle w:val="ListeParagraf"/>
        <w:numPr>
          <w:ilvl w:val="1"/>
          <w:numId w:val="14"/>
        </w:numPr>
        <w:spacing w:after="120"/>
        <w:jc w:val="both"/>
        <w:rPr>
          <w:color w:val="222222"/>
          <w:shd w:val="clear" w:color="auto" w:fill="FFFFFF"/>
          <w:lang w:val="tr-TR"/>
        </w:rPr>
      </w:pPr>
      <w:r w:rsidRPr="00A1499C">
        <w:rPr>
          <w:color w:val="222222"/>
          <w:shd w:val="clear" w:color="auto" w:fill="FFFFFF"/>
          <w:lang w:val="tr-TR"/>
        </w:rPr>
        <w:t>Ufuk Avrupa'nın başından bu yana 4 yıl için yıllık ortalama başvuru sayısı 3,75 olan MSCA-PF programına özel olarak ilk defa 2025 yılında yürütülen Pusula Programı ile bahse konu başvuru sayısı 8'e çıkmıştır.</w:t>
      </w:r>
    </w:p>
    <w:p w14:paraId="39B493AB" w14:textId="77777777" w:rsidR="00C240DD" w:rsidRPr="00A1499C" w:rsidRDefault="002B67E6" w:rsidP="0013648D">
      <w:pPr>
        <w:pStyle w:val="ListeParagraf"/>
        <w:numPr>
          <w:ilvl w:val="1"/>
          <w:numId w:val="14"/>
        </w:numPr>
        <w:spacing w:after="120"/>
        <w:jc w:val="both"/>
        <w:rPr>
          <w:color w:val="222222"/>
          <w:shd w:val="clear" w:color="auto" w:fill="FFFFFF"/>
          <w:lang w:val="tr-TR"/>
        </w:rPr>
      </w:pPr>
      <w:r w:rsidRPr="00A1499C">
        <w:rPr>
          <w:color w:val="222222"/>
          <w:shd w:val="clear" w:color="auto" w:fill="FFFFFF"/>
          <w:lang w:val="tr-TR"/>
        </w:rPr>
        <w:t xml:space="preserve">2024 yılında </w:t>
      </w:r>
      <w:r w:rsidR="00DE1C59" w:rsidRPr="00A1499C">
        <w:rPr>
          <w:color w:val="222222"/>
          <w:shd w:val="clear" w:color="auto" w:fill="FFFFFF"/>
          <w:lang w:val="tr-TR"/>
        </w:rPr>
        <w:t xml:space="preserve">ODTÜ’nün konsorsiyum ortağı </w:t>
      </w:r>
      <w:r w:rsidR="009C23C0" w:rsidRPr="00A1499C">
        <w:rPr>
          <w:color w:val="222222"/>
          <w:shd w:val="clear" w:color="auto" w:fill="FFFFFF"/>
          <w:lang w:val="tr-TR"/>
        </w:rPr>
        <w:t>olarak sunduğu</w:t>
      </w:r>
      <w:r w:rsidR="00DE1C59" w:rsidRPr="00A1499C">
        <w:rPr>
          <w:color w:val="222222"/>
          <w:shd w:val="clear" w:color="auto" w:fill="FFFFFF"/>
          <w:lang w:val="tr-TR"/>
        </w:rPr>
        <w:t xml:space="preserve"> </w:t>
      </w:r>
      <w:r w:rsidR="00AC4419" w:rsidRPr="00A1499C">
        <w:rPr>
          <w:color w:val="222222"/>
          <w:shd w:val="clear" w:color="auto" w:fill="FFFFFF"/>
          <w:lang w:val="tr-TR"/>
        </w:rPr>
        <w:t xml:space="preserve">EXPLORA ve HERITOUR kısa isimli 2 MSCA-DN </w:t>
      </w:r>
      <w:bookmarkStart w:id="4" w:name="_Hlk219162575"/>
      <w:r w:rsidR="00DE1C59" w:rsidRPr="00A1499C">
        <w:rPr>
          <w:color w:val="222222"/>
          <w:shd w:val="clear" w:color="auto" w:fill="FFFFFF"/>
          <w:lang w:val="tr-TR"/>
        </w:rPr>
        <w:t>proje</w:t>
      </w:r>
      <w:r w:rsidRPr="00A1499C">
        <w:rPr>
          <w:color w:val="222222"/>
          <w:shd w:val="clear" w:color="auto" w:fill="FFFFFF"/>
          <w:lang w:val="tr-TR"/>
        </w:rPr>
        <w:t xml:space="preserve"> başvurusu </w:t>
      </w:r>
      <w:r w:rsidR="00CB6730" w:rsidRPr="00A1499C">
        <w:rPr>
          <w:color w:val="222222"/>
          <w:shd w:val="clear" w:color="auto" w:fill="FFFFFF"/>
          <w:lang w:val="tr-TR"/>
        </w:rPr>
        <w:t xml:space="preserve">2025 yılında </w:t>
      </w:r>
      <w:r w:rsidR="00DE1C59" w:rsidRPr="00A1499C">
        <w:rPr>
          <w:color w:val="222222"/>
          <w:shd w:val="clear" w:color="auto" w:fill="FFFFFF"/>
          <w:lang w:val="tr-TR"/>
        </w:rPr>
        <w:t>desteklenmeye hak kazanmıştır</w:t>
      </w:r>
      <w:bookmarkEnd w:id="4"/>
      <w:r w:rsidRPr="00A1499C">
        <w:rPr>
          <w:color w:val="222222"/>
          <w:shd w:val="clear" w:color="auto" w:fill="FFFFFF"/>
          <w:lang w:val="tr-TR"/>
        </w:rPr>
        <w:t xml:space="preserve">. </w:t>
      </w:r>
    </w:p>
    <w:p w14:paraId="5CF07278" w14:textId="32E289F3" w:rsidR="00A11C58" w:rsidRPr="00A11C58" w:rsidRDefault="00674A48" w:rsidP="00A11C58">
      <w:pPr>
        <w:pStyle w:val="ListeParagraf"/>
        <w:numPr>
          <w:ilvl w:val="0"/>
          <w:numId w:val="14"/>
        </w:numPr>
        <w:spacing w:after="120"/>
        <w:jc w:val="both"/>
        <w:rPr>
          <w:color w:val="222222"/>
          <w:shd w:val="clear" w:color="auto" w:fill="FFFFFF"/>
          <w:lang w:val="tr-TR"/>
        </w:rPr>
      </w:pPr>
      <w:r w:rsidRPr="00A1499C">
        <w:rPr>
          <w:color w:val="222222"/>
          <w:shd w:val="clear" w:color="auto" w:fill="FFFFFF"/>
          <w:lang w:val="tr-TR"/>
        </w:rPr>
        <w:t xml:space="preserve">2025 yılında </w:t>
      </w:r>
      <w:r w:rsidR="00DE1C59" w:rsidRPr="00A1499C">
        <w:rPr>
          <w:color w:val="222222"/>
          <w:shd w:val="clear" w:color="auto" w:fill="FFFFFF"/>
          <w:lang w:val="tr-TR"/>
        </w:rPr>
        <w:t xml:space="preserve">Avrupa Araştırma Konseyi (ERC) çağrılarına toplam </w:t>
      </w:r>
      <w:r w:rsidR="00302EDC" w:rsidRPr="00A1499C">
        <w:rPr>
          <w:color w:val="222222"/>
          <w:shd w:val="clear" w:color="auto" w:fill="FFFFFF"/>
          <w:lang w:val="tr-TR"/>
        </w:rPr>
        <w:t>2</w:t>
      </w:r>
      <w:r w:rsidR="00DE1C59" w:rsidRPr="00A1499C">
        <w:rPr>
          <w:color w:val="222222"/>
          <w:shd w:val="clear" w:color="auto" w:fill="FFFFFF"/>
          <w:lang w:val="tr-TR"/>
        </w:rPr>
        <w:t xml:space="preserve"> başvuru olmuştur: </w:t>
      </w:r>
      <w:r w:rsidR="00302EDC" w:rsidRPr="00A1499C">
        <w:rPr>
          <w:color w:val="222222"/>
          <w:shd w:val="clear" w:color="auto" w:fill="FFFFFF"/>
          <w:lang w:val="tr-TR"/>
        </w:rPr>
        <w:t>1</w:t>
      </w:r>
      <w:r w:rsidR="00DE1C59" w:rsidRPr="00A1499C">
        <w:rPr>
          <w:color w:val="222222"/>
          <w:shd w:val="clear" w:color="auto" w:fill="FFFFFF"/>
          <w:lang w:val="tr-TR"/>
        </w:rPr>
        <w:t xml:space="preserve"> ERC-Advanced </w:t>
      </w:r>
      <w:r w:rsidR="00302EDC" w:rsidRPr="00A1499C">
        <w:rPr>
          <w:color w:val="222222"/>
          <w:shd w:val="clear" w:color="auto" w:fill="FFFFFF"/>
          <w:lang w:val="tr-TR"/>
        </w:rPr>
        <w:t xml:space="preserve">başvurusu </w:t>
      </w:r>
      <w:r w:rsidR="00507114" w:rsidRPr="00A1499C">
        <w:rPr>
          <w:color w:val="222222"/>
          <w:shd w:val="clear" w:color="auto" w:fill="FFFFFF"/>
          <w:lang w:val="tr-TR"/>
        </w:rPr>
        <w:t xml:space="preserve">olumsuz sonuçlanmış </w:t>
      </w:r>
      <w:r w:rsidR="00DE1C59" w:rsidRPr="00A1499C">
        <w:rPr>
          <w:color w:val="222222"/>
          <w:shd w:val="clear" w:color="auto" w:fill="FFFFFF"/>
          <w:lang w:val="tr-TR"/>
        </w:rPr>
        <w:t xml:space="preserve">ve </w:t>
      </w:r>
      <w:r w:rsidR="00507114" w:rsidRPr="00A1499C">
        <w:rPr>
          <w:color w:val="222222"/>
          <w:shd w:val="clear" w:color="auto" w:fill="FFFFFF"/>
          <w:lang w:val="tr-TR"/>
        </w:rPr>
        <w:t>1</w:t>
      </w:r>
      <w:r w:rsidR="00DE1C59" w:rsidRPr="00A1499C">
        <w:rPr>
          <w:color w:val="222222"/>
          <w:shd w:val="clear" w:color="auto" w:fill="FFFFFF"/>
          <w:lang w:val="tr-TR"/>
        </w:rPr>
        <w:t xml:space="preserve"> ERC</w:t>
      </w:r>
      <w:r w:rsidR="00C65483" w:rsidRPr="00A1499C">
        <w:rPr>
          <w:color w:val="222222"/>
          <w:shd w:val="clear" w:color="auto" w:fill="FFFFFF"/>
          <w:lang w:val="tr-TR"/>
        </w:rPr>
        <w:t>-</w:t>
      </w:r>
      <w:r w:rsidR="00507114" w:rsidRPr="00A1499C">
        <w:rPr>
          <w:color w:val="222222"/>
          <w:shd w:val="clear" w:color="auto" w:fill="FFFFFF"/>
          <w:lang w:val="tr-TR"/>
        </w:rPr>
        <w:t xml:space="preserve">Starting başvurusu </w:t>
      </w:r>
      <w:r w:rsidRPr="00A1499C">
        <w:rPr>
          <w:color w:val="222222"/>
          <w:shd w:val="clear" w:color="auto" w:fill="FFFFFF"/>
          <w:lang w:val="tr-TR"/>
        </w:rPr>
        <w:t xml:space="preserve">halen </w:t>
      </w:r>
      <w:r w:rsidR="00507114" w:rsidRPr="00A1499C">
        <w:rPr>
          <w:color w:val="222222"/>
          <w:shd w:val="clear" w:color="auto" w:fill="FFFFFF"/>
          <w:lang w:val="tr-TR"/>
        </w:rPr>
        <w:t>değerlendirme aşamasındadır.</w:t>
      </w:r>
      <w:r w:rsidR="00A729BB" w:rsidRPr="00A1499C">
        <w:rPr>
          <w:color w:val="222222"/>
          <w:shd w:val="clear" w:color="auto" w:fill="FFFFFF"/>
          <w:lang w:val="tr-TR"/>
        </w:rPr>
        <w:t xml:space="preserve"> </w:t>
      </w:r>
      <w:r w:rsidR="007C4DFF" w:rsidRPr="00A1499C">
        <w:rPr>
          <w:color w:val="222222"/>
          <w:shd w:val="clear" w:color="auto" w:fill="FFFFFF"/>
          <w:lang w:val="tr-TR"/>
        </w:rPr>
        <w:t xml:space="preserve">Başvurusu 2024 yılında yapılan ve 2025 yılında mülakata davet edilen 1 adet ERC-Consolidator başvurusu olumsuz sonuçlanmıştır. Başvurusu 2025 yılında yapılan 1 adet ERC-Proof of Concept başvurusu olumsuz sonuçlanmıştır. </w:t>
      </w:r>
      <w:r w:rsidR="00C65483" w:rsidRPr="00A1499C">
        <w:rPr>
          <w:color w:val="222222"/>
          <w:shd w:val="clear" w:color="auto" w:fill="FFFFFF"/>
          <w:lang w:val="tr-TR"/>
        </w:rPr>
        <w:t xml:space="preserve">1 adet </w:t>
      </w:r>
      <w:r w:rsidR="00C65483" w:rsidRPr="00A1499C">
        <w:rPr>
          <w:color w:val="222222"/>
          <w:shd w:val="clear" w:color="auto" w:fill="FFFFFF"/>
          <w:lang w:val="tr-TR"/>
        </w:rPr>
        <w:lastRenderedPageBreak/>
        <w:t>ERC-Consolidator başvurusunun hazırlıkları</w:t>
      </w:r>
      <w:r w:rsidRPr="00A1499C">
        <w:rPr>
          <w:color w:val="222222"/>
          <w:shd w:val="clear" w:color="auto" w:fill="FFFFFF"/>
          <w:lang w:val="tr-TR"/>
        </w:rPr>
        <w:t xml:space="preserve">na </w:t>
      </w:r>
      <w:r w:rsidR="00C65483" w:rsidRPr="00A1499C">
        <w:rPr>
          <w:color w:val="222222"/>
          <w:shd w:val="clear" w:color="auto" w:fill="FFFFFF"/>
          <w:lang w:val="tr-TR"/>
        </w:rPr>
        <w:t>2025 yılında başlanmış, başvurusu 2026 sunulacaktır.</w:t>
      </w:r>
      <w:r w:rsidR="00A11C58">
        <w:rPr>
          <w:color w:val="222222"/>
          <w:shd w:val="clear" w:color="auto" w:fill="FFFFFF"/>
          <w:lang w:val="tr-TR"/>
        </w:rPr>
        <w:t xml:space="preserve"> </w:t>
      </w:r>
    </w:p>
    <w:p w14:paraId="437FE6FD" w14:textId="77777777" w:rsidR="00C240DD" w:rsidRPr="00A1499C" w:rsidRDefault="002C131C" w:rsidP="0013648D">
      <w:pPr>
        <w:pStyle w:val="ListeParagraf"/>
        <w:numPr>
          <w:ilvl w:val="1"/>
          <w:numId w:val="14"/>
        </w:numPr>
        <w:spacing w:after="120"/>
        <w:jc w:val="both"/>
        <w:rPr>
          <w:color w:val="222222"/>
          <w:shd w:val="clear" w:color="auto" w:fill="FFFFFF"/>
          <w:lang w:val="tr-TR"/>
        </w:rPr>
      </w:pPr>
      <w:r w:rsidRPr="00A1499C">
        <w:rPr>
          <w:color w:val="222222"/>
          <w:shd w:val="clear" w:color="auto" w:fill="FFFFFF"/>
          <w:lang w:val="tr-TR"/>
        </w:rPr>
        <w:t xml:space="preserve">Ayrıca </w:t>
      </w:r>
      <w:r w:rsidR="00A729BB" w:rsidRPr="00A1499C">
        <w:rPr>
          <w:color w:val="222222"/>
          <w:shd w:val="clear" w:color="auto" w:fill="FFFFFF"/>
          <w:lang w:val="tr-TR"/>
        </w:rPr>
        <w:t xml:space="preserve">ODTÜ Deniz Bilimleri Enstitüsü’nden Prof. Dr. Mustafa Yücel’in 28 Nisan 2025 itibarıyla Avrupa Araştırma Konseyi (ERC) ve </w:t>
      </w:r>
      <w:r w:rsidR="00501CB6" w:rsidRPr="00A1499C">
        <w:rPr>
          <w:color w:val="222222"/>
          <w:shd w:val="clear" w:color="auto" w:fill="FFFFFF"/>
          <w:lang w:val="tr-TR"/>
        </w:rPr>
        <w:t xml:space="preserve">üyesi olduğu ERC Destekli Araştırmacılar Derneği </w:t>
      </w:r>
      <w:r w:rsidR="00A729BB" w:rsidRPr="00A1499C">
        <w:rPr>
          <w:color w:val="222222"/>
          <w:shd w:val="clear" w:color="auto" w:fill="FFFFFF"/>
          <w:lang w:val="tr-TR"/>
        </w:rPr>
        <w:t>(AERG</w:t>
      </w:r>
      <w:r w:rsidR="00501CB6" w:rsidRPr="00A1499C">
        <w:rPr>
          <w:color w:val="222222"/>
          <w:shd w:val="clear" w:color="auto" w:fill="FFFFFF"/>
          <w:lang w:val="tr-TR"/>
        </w:rPr>
        <w:t>: Association of ERC Grantees</w:t>
      </w:r>
      <w:r w:rsidR="00A729BB" w:rsidRPr="00A1499C">
        <w:rPr>
          <w:color w:val="222222"/>
          <w:shd w:val="clear" w:color="auto" w:fill="FFFFFF"/>
          <w:lang w:val="tr-TR"/>
        </w:rPr>
        <w:t xml:space="preserve">) tarafından kurulan ERC Elçileri Ağı’na </w:t>
      </w:r>
      <w:r w:rsidR="00501CB6" w:rsidRPr="00A1499C">
        <w:rPr>
          <w:color w:val="222222"/>
          <w:shd w:val="clear" w:color="auto" w:fill="FFFFFF"/>
          <w:lang w:val="tr-TR"/>
        </w:rPr>
        <w:t xml:space="preserve">(Ambassadors for the ERC) </w:t>
      </w:r>
      <w:r w:rsidR="00A729BB" w:rsidRPr="00A1499C">
        <w:rPr>
          <w:color w:val="222222"/>
          <w:shd w:val="clear" w:color="auto" w:fill="FFFFFF"/>
          <w:lang w:val="tr-TR"/>
        </w:rPr>
        <w:t xml:space="preserve">Türkiye’den seçilen </w:t>
      </w:r>
      <w:r w:rsidR="00501CB6" w:rsidRPr="00A1499C">
        <w:rPr>
          <w:color w:val="222222"/>
          <w:shd w:val="clear" w:color="auto" w:fill="FFFFFF"/>
          <w:lang w:val="tr-TR"/>
        </w:rPr>
        <w:t>tek elçi olması</w:t>
      </w:r>
      <w:r w:rsidR="00A729BB" w:rsidRPr="00A1499C">
        <w:rPr>
          <w:color w:val="222222"/>
          <w:shd w:val="clear" w:color="auto" w:fill="FFFFFF"/>
          <w:lang w:val="tr-TR"/>
        </w:rPr>
        <w:t>, ODTÜ’nün ERC ekosistemindeki görünürlüğünü ve ağ kapasitesini daha da güçlendirmiştir.</w:t>
      </w:r>
    </w:p>
    <w:p w14:paraId="1399221B" w14:textId="72909232" w:rsidR="00C240DD" w:rsidRPr="008241BF" w:rsidRDefault="00DE1C59" w:rsidP="0013648D">
      <w:pPr>
        <w:pStyle w:val="ListeParagraf"/>
        <w:numPr>
          <w:ilvl w:val="0"/>
          <w:numId w:val="14"/>
        </w:numPr>
        <w:spacing w:after="120"/>
        <w:jc w:val="both"/>
        <w:rPr>
          <w:color w:val="222222"/>
          <w:shd w:val="clear" w:color="auto" w:fill="FFFFFF"/>
          <w:lang w:val="tr-TR"/>
        </w:rPr>
      </w:pPr>
      <w:r w:rsidRPr="008241BF">
        <w:rPr>
          <w:color w:val="222222"/>
          <w:shd w:val="clear" w:color="auto" w:fill="FFFFFF"/>
          <w:lang w:val="tr-TR"/>
        </w:rPr>
        <w:t xml:space="preserve">WIDERA çağrılarına </w:t>
      </w:r>
      <w:r w:rsidR="000C56CA" w:rsidRPr="008241BF">
        <w:rPr>
          <w:color w:val="222222"/>
          <w:shd w:val="clear" w:color="auto" w:fill="FFFFFF"/>
          <w:lang w:val="tr-TR"/>
        </w:rPr>
        <w:t>beşinde</w:t>
      </w:r>
      <w:r w:rsidRPr="008241BF">
        <w:rPr>
          <w:color w:val="222222"/>
          <w:shd w:val="clear" w:color="auto" w:fill="FFFFFF"/>
          <w:lang w:val="tr-TR"/>
        </w:rPr>
        <w:t xml:space="preserve"> koordinatör olarak toplam </w:t>
      </w:r>
      <w:r w:rsidR="00ED5A4D" w:rsidRPr="008241BF">
        <w:rPr>
          <w:color w:val="222222"/>
          <w:shd w:val="clear" w:color="auto" w:fill="FFFFFF"/>
          <w:lang w:val="tr-TR"/>
        </w:rPr>
        <w:t>13</w:t>
      </w:r>
      <w:r w:rsidRPr="008241BF">
        <w:rPr>
          <w:color w:val="222222"/>
          <w:shd w:val="clear" w:color="auto" w:fill="FFFFFF"/>
          <w:lang w:val="tr-TR"/>
        </w:rPr>
        <w:t xml:space="preserve"> başvuru olmuştur. </w:t>
      </w:r>
      <w:r w:rsidR="000C56CA" w:rsidRPr="008241BF">
        <w:rPr>
          <w:color w:val="222222"/>
          <w:shd w:val="clear" w:color="auto" w:fill="FFFFFF"/>
          <w:lang w:val="tr-TR"/>
        </w:rPr>
        <w:t>Red olan iki başvuru haricindeki 11 başvuru halen değerlendirme aşamasındadır.</w:t>
      </w:r>
      <w:r w:rsidR="00A11C58">
        <w:rPr>
          <w:color w:val="222222"/>
          <w:shd w:val="clear" w:color="auto" w:fill="FFFFFF"/>
          <w:lang w:val="tr-TR"/>
        </w:rPr>
        <w:t xml:space="preserve"> </w:t>
      </w:r>
    </w:p>
    <w:p w14:paraId="5631E742" w14:textId="77777777" w:rsidR="00C240DD" w:rsidRPr="00A1499C" w:rsidRDefault="00DD2035" w:rsidP="0013648D">
      <w:pPr>
        <w:pStyle w:val="ListeParagraf"/>
        <w:numPr>
          <w:ilvl w:val="0"/>
          <w:numId w:val="14"/>
        </w:numPr>
        <w:spacing w:after="120"/>
        <w:jc w:val="both"/>
        <w:rPr>
          <w:color w:val="222222"/>
          <w:shd w:val="clear" w:color="auto" w:fill="FFFFFF"/>
          <w:lang w:val="tr-TR"/>
        </w:rPr>
      </w:pPr>
      <w:r w:rsidRPr="00A1499C">
        <w:rPr>
          <w:color w:val="222222"/>
          <w:shd w:val="clear" w:color="auto" w:fill="FFFFFF"/>
          <w:lang w:val="tr-TR"/>
        </w:rPr>
        <w:t>Avrupa Yenilik Konseyi (EIC) Pathfinder programına d</w:t>
      </w:r>
      <w:r w:rsidR="00186C4A" w:rsidRPr="00A1499C">
        <w:rPr>
          <w:color w:val="222222"/>
          <w:shd w:val="clear" w:color="auto" w:fill="FFFFFF"/>
          <w:lang w:val="tr-TR"/>
        </w:rPr>
        <w:t xml:space="preserve">ördü </w:t>
      </w:r>
      <w:r w:rsidR="00284D81" w:rsidRPr="00A1499C">
        <w:rPr>
          <w:color w:val="222222"/>
          <w:shd w:val="clear" w:color="auto" w:fill="FFFFFF"/>
          <w:lang w:val="tr-TR"/>
        </w:rPr>
        <w:t xml:space="preserve">olumsuz sonuçlanan </w:t>
      </w:r>
      <w:r w:rsidR="00186C4A" w:rsidRPr="00A1499C">
        <w:rPr>
          <w:color w:val="222222"/>
          <w:shd w:val="clear" w:color="auto" w:fill="FFFFFF"/>
          <w:lang w:val="tr-TR"/>
        </w:rPr>
        <w:t>(ikisi konsorsiyum koordinatörü, ikisi ortak olarak) ve biri halen değerlendirme aşamasında olan (asosiye ortak olarak) toplam 5</w:t>
      </w:r>
      <w:r w:rsidR="00284D81" w:rsidRPr="00A1499C">
        <w:rPr>
          <w:color w:val="222222"/>
          <w:shd w:val="clear" w:color="auto" w:fill="FFFFFF"/>
          <w:lang w:val="tr-TR"/>
        </w:rPr>
        <w:t xml:space="preserve"> başvuru</w:t>
      </w:r>
      <w:r w:rsidRPr="00A1499C">
        <w:rPr>
          <w:color w:val="222222"/>
          <w:shd w:val="clear" w:color="auto" w:fill="FFFFFF"/>
          <w:lang w:val="tr-TR"/>
        </w:rPr>
        <w:t xml:space="preserve"> </w:t>
      </w:r>
      <w:r w:rsidR="00274007" w:rsidRPr="00A1499C">
        <w:rPr>
          <w:color w:val="222222"/>
          <w:shd w:val="clear" w:color="auto" w:fill="FFFFFF"/>
          <w:lang w:val="tr-TR"/>
        </w:rPr>
        <w:t xml:space="preserve">gerçekleştirilmiştir. </w:t>
      </w:r>
    </w:p>
    <w:p w14:paraId="2D9A1742" w14:textId="77777777" w:rsidR="004B3568" w:rsidRDefault="00DE1C59" w:rsidP="005B5114">
      <w:pPr>
        <w:pStyle w:val="ListeParagraf"/>
        <w:numPr>
          <w:ilvl w:val="0"/>
          <w:numId w:val="14"/>
        </w:numPr>
        <w:spacing w:after="120"/>
        <w:jc w:val="both"/>
        <w:rPr>
          <w:color w:val="222222"/>
          <w:shd w:val="clear" w:color="auto" w:fill="FFFFFF"/>
          <w:lang w:val="tr-TR"/>
        </w:rPr>
      </w:pPr>
      <w:r w:rsidRPr="00A1499C">
        <w:rPr>
          <w:color w:val="222222"/>
          <w:shd w:val="clear" w:color="auto" w:fill="FFFFFF"/>
          <w:lang w:val="tr-TR"/>
        </w:rPr>
        <w:t xml:space="preserve">Dijital Avrupa programı çağrılarına birinde koordinatör olarak toplam </w:t>
      </w:r>
      <w:r w:rsidR="00D331CE" w:rsidRPr="00A1499C">
        <w:rPr>
          <w:color w:val="222222"/>
          <w:shd w:val="clear" w:color="auto" w:fill="FFFFFF"/>
          <w:lang w:val="tr-TR"/>
        </w:rPr>
        <w:t xml:space="preserve">4 </w:t>
      </w:r>
      <w:r w:rsidRPr="00A1499C">
        <w:rPr>
          <w:color w:val="222222"/>
          <w:shd w:val="clear" w:color="auto" w:fill="FFFFFF"/>
          <w:lang w:val="tr-TR"/>
        </w:rPr>
        <w:t xml:space="preserve">başvuru olmuştur. ODTÜ’nün </w:t>
      </w:r>
      <w:r w:rsidR="00D331CE" w:rsidRPr="00A1499C">
        <w:rPr>
          <w:color w:val="222222"/>
          <w:shd w:val="clear" w:color="auto" w:fill="FFFFFF"/>
          <w:lang w:val="tr-TR"/>
        </w:rPr>
        <w:t xml:space="preserve">koordinatör olduğu </w:t>
      </w:r>
      <w:r w:rsidR="003517F5" w:rsidRPr="00A1499C">
        <w:rPr>
          <w:color w:val="222222"/>
          <w:shd w:val="clear" w:color="auto" w:fill="FFFFFF"/>
          <w:lang w:val="tr-TR"/>
        </w:rPr>
        <w:t xml:space="preserve">AI4GTech Anatolia </w:t>
      </w:r>
      <w:r w:rsidR="00D331CE" w:rsidRPr="00A1499C">
        <w:rPr>
          <w:color w:val="222222"/>
          <w:shd w:val="clear" w:color="auto" w:fill="FFFFFF"/>
          <w:lang w:val="tr-TR"/>
        </w:rPr>
        <w:t xml:space="preserve">ve </w:t>
      </w:r>
      <w:r w:rsidRPr="00A1499C">
        <w:rPr>
          <w:color w:val="222222"/>
          <w:shd w:val="clear" w:color="auto" w:fill="FFFFFF"/>
          <w:lang w:val="tr-TR"/>
        </w:rPr>
        <w:t xml:space="preserve">konsorsiyum ortağı olduğu </w:t>
      </w:r>
      <w:r w:rsidR="00730F93" w:rsidRPr="00A1499C">
        <w:rPr>
          <w:color w:val="222222"/>
          <w:shd w:val="clear" w:color="auto" w:fill="FFFFFF"/>
          <w:lang w:val="tr-TR"/>
        </w:rPr>
        <w:t xml:space="preserve">EUMaster4HPC-2 </w:t>
      </w:r>
      <w:r w:rsidR="00D331CE" w:rsidRPr="00A1499C">
        <w:rPr>
          <w:color w:val="222222"/>
          <w:shd w:val="clear" w:color="auto" w:fill="FFFFFF"/>
          <w:lang w:val="tr-TR"/>
        </w:rPr>
        <w:t xml:space="preserve">ile </w:t>
      </w:r>
      <w:r w:rsidRPr="00A1499C">
        <w:rPr>
          <w:color w:val="222222"/>
          <w:shd w:val="clear" w:color="auto" w:fill="FFFFFF"/>
          <w:lang w:val="tr-TR"/>
        </w:rPr>
        <w:t>EuroCC</w:t>
      </w:r>
      <w:r w:rsidR="00730F93" w:rsidRPr="00A1499C">
        <w:rPr>
          <w:color w:val="222222"/>
          <w:shd w:val="clear" w:color="auto" w:fill="FFFFFF"/>
          <w:lang w:val="tr-TR"/>
        </w:rPr>
        <w:t>3</w:t>
      </w:r>
      <w:r w:rsidRPr="00A1499C">
        <w:rPr>
          <w:color w:val="222222"/>
          <w:shd w:val="clear" w:color="auto" w:fill="FFFFFF"/>
          <w:lang w:val="tr-TR"/>
        </w:rPr>
        <w:t xml:space="preserve"> kısa isimli üç Dijital Avrupa projesi desteklenmeye hak kazanmıştır.</w:t>
      </w:r>
    </w:p>
    <w:p w14:paraId="62A1A2CE" w14:textId="5006BD54" w:rsidR="00DE1C59" w:rsidRPr="004B3568" w:rsidRDefault="00DE1C59" w:rsidP="005B5114">
      <w:pPr>
        <w:pStyle w:val="ListeParagraf"/>
        <w:numPr>
          <w:ilvl w:val="0"/>
          <w:numId w:val="14"/>
        </w:numPr>
        <w:spacing w:after="120"/>
        <w:jc w:val="both"/>
        <w:rPr>
          <w:color w:val="222222"/>
          <w:shd w:val="clear" w:color="auto" w:fill="FFFFFF"/>
          <w:lang w:val="tr-TR"/>
        </w:rPr>
      </w:pPr>
      <w:r w:rsidRPr="004B3568">
        <w:rPr>
          <w:bCs/>
          <w:lang w:val="tr-TR"/>
        </w:rPr>
        <w:t xml:space="preserve">Son olarak, </w:t>
      </w:r>
      <w:r w:rsidR="00265351" w:rsidRPr="004B3568">
        <w:rPr>
          <w:bCs/>
          <w:lang w:val="tr-TR"/>
        </w:rPr>
        <w:t xml:space="preserve">Ufuk Avrupa programının EIT-HEI çağrısının </w:t>
      </w:r>
      <w:r w:rsidR="00101181" w:rsidRPr="004B3568">
        <w:rPr>
          <w:bCs/>
          <w:lang w:val="tr-TR"/>
        </w:rPr>
        <w:t>(</w:t>
      </w:r>
      <w:r w:rsidR="00101181" w:rsidRPr="004B3568">
        <w:rPr>
          <w:color w:val="222222"/>
          <w:shd w:val="clear" w:color="auto" w:fill="FFFFFF"/>
        </w:rPr>
        <w:t>Avrupa Yenilik ve Teknoloji Enstitüsü – Yüksek Öğretim Girişimi</w:t>
      </w:r>
      <w:r w:rsidR="00265351" w:rsidRPr="004B3568">
        <w:rPr>
          <w:bCs/>
          <w:lang w:val="tr-TR"/>
        </w:rPr>
        <w:t xml:space="preserve">) </w:t>
      </w:r>
      <w:r w:rsidRPr="004B3568">
        <w:rPr>
          <w:color w:val="1F1F1F"/>
          <w:shd w:val="clear" w:color="auto" w:fill="FFFFFF"/>
          <w:lang w:val="tr-TR"/>
        </w:rPr>
        <w:t xml:space="preserve">koordinatör ve ortak </w:t>
      </w:r>
      <w:r w:rsidR="00265351" w:rsidRPr="004B3568">
        <w:rPr>
          <w:color w:val="1F1F1F"/>
          <w:shd w:val="clear" w:color="auto" w:fill="FFFFFF"/>
          <w:lang w:val="tr-TR"/>
        </w:rPr>
        <w:t xml:space="preserve">olmaktan bağımsız olarak </w:t>
      </w:r>
      <w:r w:rsidR="00E5634B" w:rsidRPr="004B3568">
        <w:rPr>
          <w:color w:val="1F1F1F"/>
          <w:shd w:val="clear" w:color="auto" w:fill="FFFFFF"/>
          <w:lang w:val="tr-TR"/>
        </w:rPr>
        <w:t xml:space="preserve">kurum başına </w:t>
      </w:r>
      <w:r w:rsidR="00265351" w:rsidRPr="004B3568">
        <w:rPr>
          <w:color w:val="1F1F1F"/>
          <w:shd w:val="clear" w:color="auto" w:fill="FFFFFF"/>
          <w:lang w:val="tr-TR"/>
        </w:rPr>
        <w:t xml:space="preserve">sadece tek </w:t>
      </w:r>
      <w:r w:rsidRPr="004B3568">
        <w:rPr>
          <w:color w:val="1F1F1F"/>
          <w:shd w:val="clear" w:color="auto" w:fill="FFFFFF"/>
          <w:lang w:val="tr-TR"/>
        </w:rPr>
        <w:t xml:space="preserve">başvuru yapma hakkı kıstası nedeniyle kurum içinde bir niyet toplama </w:t>
      </w:r>
      <w:r w:rsidR="00265351" w:rsidRPr="004B3568">
        <w:rPr>
          <w:color w:val="1F1F1F"/>
          <w:shd w:val="clear" w:color="auto" w:fill="FFFFFF"/>
          <w:lang w:val="tr-TR"/>
        </w:rPr>
        <w:t xml:space="preserve">çalışması yürütülmüştür ve toplanan niyet beyanları 2026 yılında </w:t>
      </w:r>
      <w:r w:rsidRPr="004B3568">
        <w:rPr>
          <w:color w:val="1F1F1F"/>
          <w:shd w:val="clear" w:color="auto" w:fill="FFFFFF"/>
          <w:lang w:val="tr-TR"/>
        </w:rPr>
        <w:t>değerlendirme</w:t>
      </w:r>
      <w:r w:rsidR="00265351" w:rsidRPr="004B3568">
        <w:rPr>
          <w:color w:val="1F1F1F"/>
          <w:shd w:val="clear" w:color="auto" w:fill="FFFFFF"/>
          <w:lang w:val="tr-TR"/>
        </w:rPr>
        <w:t>ye alınacaktır.</w:t>
      </w:r>
    </w:p>
    <w:p w14:paraId="2FDBD55D" w14:textId="7836D280" w:rsidR="0025735E" w:rsidRPr="004B0471" w:rsidRDefault="0025735E" w:rsidP="005B5114">
      <w:pPr>
        <w:spacing w:after="120"/>
        <w:jc w:val="both"/>
        <w:rPr>
          <w:rFonts w:eastAsia="Calibri"/>
        </w:rPr>
      </w:pPr>
      <w:r w:rsidRPr="00E004DB">
        <w:rPr>
          <w:bCs/>
        </w:rPr>
        <w:t xml:space="preserve">Sonuç olarak, 2025 yılında da </w:t>
      </w:r>
      <w:r w:rsidRPr="00E004DB">
        <w:rPr>
          <w:rFonts w:eastAsia="Calibri"/>
        </w:rPr>
        <w:t>hazırlık aşamasındaki projelere birebir destek verilmiştir,</w:t>
      </w:r>
      <w:r w:rsidRPr="004B0471">
        <w:rPr>
          <w:rFonts w:eastAsia="Calibri"/>
        </w:rPr>
        <w:t xml:space="preserve"> projelerin kurgulanmasında ODTÜ’nün bütün imkanlarından faydalanılması sağlanmıştır ve projelerin bütçelemeleri kontrol edilmiştir. </w:t>
      </w:r>
      <w:r w:rsidR="001A7C17" w:rsidRPr="004B0471">
        <w:rPr>
          <w:rFonts w:eastAsia="Calibri"/>
        </w:rPr>
        <w:t xml:space="preserve">Bu yıl ilk kez etik çerçevede ve insan denetimiyle çalışan yapay </w:t>
      </w:r>
      <w:r w:rsidR="003543D5" w:rsidRPr="004B0471">
        <w:rPr>
          <w:rFonts w:eastAsia="Calibri"/>
        </w:rPr>
        <w:t>zekâ</w:t>
      </w:r>
      <w:r w:rsidR="000148EB" w:rsidRPr="004B0471">
        <w:rPr>
          <w:rFonts w:eastAsia="Calibri"/>
        </w:rPr>
        <w:t xml:space="preserve"> </w:t>
      </w:r>
      <w:r w:rsidR="001A7C17" w:rsidRPr="004B0471">
        <w:rPr>
          <w:rFonts w:eastAsia="Calibri"/>
        </w:rPr>
        <w:t>destekli analiz araçları kullanılarak çağrı metinleri ve proje dosyaları derinlemesine değerlendirilmiş; böylece başvuruların niteliği ve rekabet gücü artırılmıştır.</w:t>
      </w:r>
      <w:r w:rsidR="00025EB7" w:rsidRPr="004B0471">
        <w:rPr>
          <w:rFonts w:eastAsia="Calibri"/>
        </w:rPr>
        <w:t xml:space="preserve"> </w:t>
      </w:r>
      <w:r w:rsidR="00D21565" w:rsidRPr="004B0471">
        <w:rPr>
          <w:rFonts w:eastAsia="Calibri"/>
        </w:rPr>
        <w:t>Ufuk Avrupa Çerçeve Programı kapsamında, araştırmacıların proje geliştirme ve başvuru süreçlerine birebir ve ihtiyaca yönelik kapsamlı destekler sunulmuştur. Bu destekler; çağrı analizi, uygunluk ve konsorsiyum kurgusu,</w:t>
      </w:r>
      <w:r w:rsidR="003543D5">
        <w:rPr>
          <w:rFonts w:eastAsia="Calibri"/>
        </w:rPr>
        <w:t xml:space="preserve"> vazgeçilmez unsurların entegrasyonu,</w:t>
      </w:r>
      <w:r w:rsidR="00D21565" w:rsidRPr="004B0471">
        <w:rPr>
          <w:rFonts w:eastAsia="Calibri"/>
        </w:rPr>
        <w:t xml:space="preserve"> bütçe hazırlığı</w:t>
      </w:r>
      <w:r w:rsidR="007C316F" w:rsidRPr="004B0471">
        <w:rPr>
          <w:rFonts w:eastAsia="Calibri"/>
        </w:rPr>
        <w:t xml:space="preserve">, </w:t>
      </w:r>
      <w:r w:rsidR="00D21565" w:rsidRPr="004B0471">
        <w:rPr>
          <w:rFonts w:eastAsia="Calibri"/>
        </w:rPr>
        <w:t xml:space="preserve">başvuru süreçlerinin kolaylaştırılması </w:t>
      </w:r>
      <w:r w:rsidR="007C316F" w:rsidRPr="004B0471">
        <w:rPr>
          <w:rFonts w:eastAsia="Calibri"/>
        </w:rPr>
        <w:t xml:space="preserve">ve </w:t>
      </w:r>
      <w:r w:rsidR="00D21565" w:rsidRPr="004B0471">
        <w:rPr>
          <w:rFonts w:eastAsia="Calibri"/>
        </w:rPr>
        <w:t xml:space="preserve">geliştirilmesini kapsayacak şekilde yürütülmüştür. </w:t>
      </w:r>
    </w:p>
    <w:p w14:paraId="34F09792" w14:textId="268F0308" w:rsidR="0025735E" w:rsidRDefault="0025735E" w:rsidP="005B5114">
      <w:pPr>
        <w:spacing w:after="120"/>
        <w:jc w:val="both"/>
        <w:rPr>
          <w:bCs/>
        </w:rPr>
      </w:pPr>
      <w:r w:rsidRPr="004B0471">
        <w:rPr>
          <w:bCs/>
        </w:rPr>
        <w:t xml:space="preserve">İşbu çalışmaların da etkisiyle, Ufuk Avrupa ve diğer uluslararası </w:t>
      </w:r>
      <w:r w:rsidR="004E2666">
        <w:rPr>
          <w:bCs/>
        </w:rPr>
        <w:t>araştırma</w:t>
      </w:r>
      <w:r w:rsidRPr="004B0471">
        <w:rPr>
          <w:bCs/>
        </w:rPr>
        <w:t xml:space="preserve"> programlarına 2025 yılında 171 başvuru yapılmıştır. Halen değerlendirme aşamasında olan birçok başvuru </w:t>
      </w:r>
      <w:r w:rsidR="007E7989">
        <w:rPr>
          <w:bCs/>
        </w:rPr>
        <w:t>olmasına rağmen</w:t>
      </w:r>
      <w:r w:rsidRPr="004B0471">
        <w:rPr>
          <w:bCs/>
        </w:rPr>
        <w:t xml:space="preserve">, Ufuk Avrupa’daki proje sayımız 42’ye, konsorsiyum koordinatörlüğümüz 2’ye, ODTÜ bütçemiz ise ~17,5 milyon €’ya ulaşmıştır. Tüm bu başarılarla, Avrupa Komisyonu tarafından </w:t>
      </w:r>
      <w:r w:rsidR="004E2666">
        <w:rPr>
          <w:bCs/>
        </w:rPr>
        <w:t xml:space="preserve">16 Aralık 2025 </w:t>
      </w:r>
      <w:r w:rsidRPr="004B0471">
        <w:rPr>
          <w:bCs/>
        </w:rPr>
        <w:t xml:space="preserve">tarihinde yayınlanan resmi verilere </w:t>
      </w:r>
      <w:r w:rsidR="004E2666" w:rsidRPr="004B0471">
        <w:rPr>
          <w:bCs/>
        </w:rPr>
        <w:t>dayanarak</w:t>
      </w:r>
      <w:r w:rsidRPr="004B0471">
        <w:rPr>
          <w:bCs/>
        </w:rPr>
        <w:t xml:space="preserve"> </w:t>
      </w:r>
      <w:r w:rsidR="004E2666">
        <w:rPr>
          <w:bCs/>
        </w:rPr>
        <w:t xml:space="preserve">hem katılım sağlanan proje sayısına hem de </w:t>
      </w:r>
      <w:r w:rsidRPr="004B0471">
        <w:rPr>
          <w:bCs/>
        </w:rPr>
        <w:t>alınan fon miktarına göre ODTÜ 7. Çerçeve Programı’nda en başarılı, Ufuk 2020 ve Ufuk Avrupa Program</w:t>
      </w:r>
      <w:r w:rsidR="004E2666">
        <w:rPr>
          <w:bCs/>
        </w:rPr>
        <w:t>lar</w:t>
      </w:r>
      <w:r w:rsidRPr="004B0471">
        <w:rPr>
          <w:bCs/>
        </w:rPr>
        <w:t xml:space="preserve">ında </w:t>
      </w:r>
      <w:r w:rsidR="004E2666">
        <w:rPr>
          <w:bCs/>
        </w:rPr>
        <w:t>2</w:t>
      </w:r>
      <w:r w:rsidRPr="004B0471">
        <w:rPr>
          <w:bCs/>
        </w:rPr>
        <w:t xml:space="preserve">. en başarılı Türk </w:t>
      </w:r>
      <w:r w:rsidR="004E2666">
        <w:rPr>
          <w:bCs/>
        </w:rPr>
        <w:t>üniversitedir.</w:t>
      </w:r>
    </w:p>
    <w:p w14:paraId="63204320" w14:textId="2A673C18" w:rsidR="000A0EE5" w:rsidRDefault="000A0EE5" w:rsidP="00A47782">
      <w:pPr>
        <w:spacing w:after="120"/>
        <w:jc w:val="both"/>
        <w:rPr>
          <w:rFonts w:eastAsia="Calibri"/>
        </w:rPr>
      </w:pPr>
      <w:r w:rsidRPr="003A6487">
        <w:rPr>
          <w:rFonts w:eastAsia="Calibri"/>
          <w:b/>
          <w:bCs/>
        </w:rPr>
        <w:t>ODTÜ</w:t>
      </w:r>
      <w:r>
        <w:rPr>
          <w:rFonts w:eastAsia="Calibri"/>
          <w:b/>
          <w:bCs/>
        </w:rPr>
        <w:t xml:space="preserve"> PDO Sosyal ve </w:t>
      </w:r>
      <w:r w:rsidR="00794753">
        <w:rPr>
          <w:rFonts w:eastAsia="Calibri"/>
          <w:b/>
          <w:bCs/>
        </w:rPr>
        <w:t>Beşerî</w:t>
      </w:r>
      <w:r>
        <w:rPr>
          <w:rFonts w:eastAsia="Calibri"/>
          <w:b/>
          <w:bCs/>
        </w:rPr>
        <w:t xml:space="preserve"> Bilimler Birimi: </w:t>
      </w:r>
      <w:r w:rsidR="00D64926" w:rsidRPr="000A0EE5">
        <w:rPr>
          <w:rFonts w:eastAsia="Calibri"/>
        </w:rPr>
        <w:t xml:space="preserve">2016 yılında kurulan </w:t>
      </w:r>
      <w:r w:rsidR="000F31AB">
        <w:rPr>
          <w:rFonts w:eastAsia="Calibri"/>
        </w:rPr>
        <w:t>“</w:t>
      </w:r>
      <w:r w:rsidR="00D64926" w:rsidRPr="000A0EE5">
        <w:rPr>
          <w:rFonts w:eastAsia="Calibri"/>
        </w:rPr>
        <w:t>PDO Sosyal</w:t>
      </w:r>
      <w:r w:rsidR="000F31AB">
        <w:rPr>
          <w:rFonts w:eastAsia="Calibri"/>
        </w:rPr>
        <w:t>”</w:t>
      </w:r>
      <w:r w:rsidR="00D64926" w:rsidRPr="000A0EE5">
        <w:rPr>
          <w:rFonts w:eastAsia="Calibri"/>
        </w:rPr>
        <w:t>, ilgili araştırmacılarımıza ulusal ve uluslararası çağrılar, etkinlikler ve proje pazarları konusunda bilgi sağlamaya ve proje başvuru, yürütme ve denetim süreçlerinde destek vermeye devam etmektedir. PDO Sosyal ekibinin desteğiyle hazırlanan</w:t>
      </w:r>
      <w:r w:rsidR="00016556" w:rsidRPr="000A0EE5">
        <w:rPr>
          <w:rFonts w:eastAsia="Calibri"/>
        </w:rPr>
        <w:t xml:space="preserve"> ve yürütülen</w:t>
      </w:r>
      <w:r w:rsidR="00D64926" w:rsidRPr="000A0EE5">
        <w:rPr>
          <w:rFonts w:eastAsia="Calibri"/>
        </w:rPr>
        <w:t xml:space="preserve">, ODTÜ Araştırmalar Koordinatörlüğü’nün koordinatör olduğu ENRICH-TOGETHER kısa isimli Ufuk Avrupa MSCA-COFUND projesi 2022 yılında desteklenmeye hak kazanmış; 2023 yılında yürütülmeye </w:t>
      </w:r>
      <w:r w:rsidR="001F1458" w:rsidRPr="000A0EE5">
        <w:rPr>
          <w:rFonts w:eastAsia="Calibri"/>
        </w:rPr>
        <w:lastRenderedPageBreak/>
        <w:t>başlanmış ve 2025 yılında da yoğun biçimde uygulanmaya devam edilmiştir.</w:t>
      </w:r>
      <w:r w:rsidR="00871B53" w:rsidRPr="000A0EE5">
        <w:rPr>
          <w:rFonts w:eastAsia="Calibri"/>
        </w:rPr>
        <w:t xml:space="preserve"> </w:t>
      </w:r>
      <w:r w:rsidR="00D64926" w:rsidRPr="000A0EE5">
        <w:rPr>
          <w:rFonts w:eastAsia="Calibri"/>
        </w:rPr>
        <w:t>PDO Sosyal ekibi 2024 yılında konsorsiyum ortağı olarak bir WIDERA programı çağrısına başvuru yapmış ve GEPINC kısa isimli bu projesi desteklenmeye hak kazanmıştır</w:t>
      </w:r>
      <w:r w:rsidR="0059737B">
        <w:rPr>
          <w:rFonts w:eastAsia="Calibri"/>
        </w:rPr>
        <w:t xml:space="preserve"> ve halen devam etmektedir.</w:t>
      </w:r>
      <w:r w:rsidR="00D64926" w:rsidRPr="000A0EE5">
        <w:rPr>
          <w:rFonts w:eastAsia="Calibri"/>
        </w:rPr>
        <w:t xml:space="preserve"> Dahası, aşağıda açıklanan HR Logo ve TCEP çalışmalarına da PDO Sosyal ekibi yoğun bir şekilde destek vermiş ve vermeye devam etmektedir.</w:t>
      </w:r>
    </w:p>
    <w:p w14:paraId="07CAD80D" w14:textId="77777777" w:rsidR="00127E1C" w:rsidRDefault="00CC33F9" w:rsidP="00A47782">
      <w:pPr>
        <w:spacing w:after="120"/>
        <w:jc w:val="both"/>
        <w:rPr>
          <w:rFonts w:eastAsia="Calibri"/>
        </w:rPr>
      </w:pPr>
      <w:r w:rsidRPr="008026D3">
        <w:t>Üniversitemiz, düzenli olarak uluslararası görünürlüğünü artırma amacına hizmet eden faaliyetlerde bulunmaktadır. Bu amaçla atılan adımlardan bir tanesi, ODTÜ’nün Avrupa Komisyonu tarafından “Araştırmacı Dostu Üniversite” olmaya odaklanmış kurumlara verilen “</w:t>
      </w:r>
      <w:r w:rsidRPr="008026D3">
        <w:rPr>
          <w:b/>
        </w:rPr>
        <w:t>Araştırmada İnsan Kaynakları Mükemmelliyet Sertifikası</w:t>
      </w:r>
      <w:r w:rsidRPr="008026D3">
        <w:t xml:space="preserve"> (HR Logo) (</w:t>
      </w:r>
      <w:r w:rsidRPr="008026D3">
        <w:rPr>
          <w:i/>
        </w:rPr>
        <w:t>HR Excellence in Research Award</w:t>
      </w:r>
      <w:r w:rsidRPr="008026D3">
        <w:t>)” alma başvurusunu</w:t>
      </w:r>
      <w:r w:rsidR="00CB6896" w:rsidRPr="008026D3">
        <w:t>n hazırlanmasıdır</w:t>
      </w:r>
      <w:r w:rsidRPr="008026D3">
        <w:t xml:space="preserve">. ODTÜ, 2020 yılında üniversitelerin uluslararası görünürlüğü ve güvenilirliği açısından önemli bir simge olan HR Logo'yu </w:t>
      </w:r>
      <w:r w:rsidR="00CB6896" w:rsidRPr="008026D3">
        <w:t>kullanmaya</w:t>
      </w:r>
      <w:r w:rsidRPr="008026D3">
        <w:t xml:space="preserve"> hak kazanan ilk Türk üniversitesi olmuştu</w:t>
      </w:r>
      <w:r w:rsidR="00CB6896" w:rsidRPr="008026D3">
        <w:t>r</w:t>
      </w:r>
      <w:r w:rsidRPr="008026D3">
        <w:t xml:space="preserve">. Bu kapsamda, 2020 yılında başvuru aşamasında sunulan HR Logo Eylem Planı doğrultusunda gerçekleştirilen çeşitli faaliyetlerin açıklandığı ara rapor 2022 yılında sunulmuş ve yine aynı yıl içinde Avrupa Komisyonu uzmanları tarafından kabul edilmiştir. 2022 yılında kabul edilen yeni HR Logo Eylem Planı doğrultusunda öngörülen çeşitli faaliyetlerin </w:t>
      </w:r>
      <w:r w:rsidR="00B53E4C" w:rsidRPr="008026D3">
        <w:t xml:space="preserve">değerlendirilmesi ve HR Logo’nun yenilenmesi süreci kapsamında ilgili </w:t>
      </w:r>
      <w:r w:rsidR="008026D3" w:rsidRPr="008026D3">
        <w:t xml:space="preserve">ekiple </w:t>
      </w:r>
      <w:r w:rsidR="00B53E4C" w:rsidRPr="008026D3">
        <w:t>Temmuz–Ağustos 2025 aylarında toplantılar gerçekleştirilmiştir. Bu çerçevede, üniversite genelinde “Avrupa Araştırmacılar Bildirgesi ve Araştırmacıların İşe Alımına İlişkin Davranış Kuralları” doğrultusunda</w:t>
      </w:r>
      <w:r w:rsidR="00BF7C6E" w:rsidRPr="008026D3">
        <w:t xml:space="preserve"> ve</w:t>
      </w:r>
      <w:r w:rsidR="00B53E4C" w:rsidRPr="008026D3">
        <w:t xml:space="preserve"> </w:t>
      </w:r>
      <w:r w:rsidR="00BF7C6E" w:rsidRPr="008026D3">
        <w:t xml:space="preserve">ODTÜ’de HRS4R standartlarında daha kapsayıcı, destekleyici ve şeffaf bir araştırma ve çalışma ortamı oluşturulmasına katkı sağlamak için </w:t>
      </w:r>
      <w:r w:rsidR="00B53E4C" w:rsidRPr="008026D3">
        <w:t>kapsamlı bir Boşluk Analizi yapılabilmesi amacıyla Ağustos 2025’te 66 soruluk “Araştırmacılar için İnsan Kaynakları Stratejisi (HRS4R) Anketi”</w:t>
      </w:r>
      <w:r w:rsidR="008026D3" w:rsidRPr="008026D3">
        <w:t xml:space="preserve"> </w:t>
      </w:r>
      <w:r w:rsidR="00B53E4C" w:rsidRPr="008026D3">
        <w:t xml:space="preserve">tamamlanmıştır. </w:t>
      </w:r>
      <w:r w:rsidR="003B4B3A" w:rsidRPr="008026D3">
        <w:t>Anket</w:t>
      </w:r>
      <w:r w:rsidR="00B53E4C" w:rsidRPr="008026D3">
        <w:t>, Ekim 2025’te etik kurul onayının alınmasının ardından 19 Kasım 2025 tarihinde ODTÜ Anket Servisi aracılığıyla üniversitemiz araştırmacılarının erişimine açılmıştır.</w:t>
      </w:r>
      <w:r w:rsidR="009B503E" w:rsidRPr="008026D3">
        <w:t xml:space="preserve"> </w:t>
      </w:r>
      <w:r w:rsidR="00B53E4C" w:rsidRPr="008026D3">
        <w:t>HRS4R Uygulama Aşaması sonunda gerçekleştirilmesi öngörülen “</w:t>
      </w:r>
      <w:r w:rsidR="008026D3" w:rsidRPr="008026D3">
        <w:t xml:space="preserve">HRS4R </w:t>
      </w:r>
      <w:r w:rsidR="00B53E4C" w:rsidRPr="008026D3">
        <w:t>Yenileme ve Yerinde Ziyaret” sürecinin; kurumsal yeniden yapılanma</w:t>
      </w:r>
      <w:r w:rsidR="009B503E" w:rsidRPr="008026D3">
        <w:t xml:space="preserve"> ve </w:t>
      </w:r>
      <w:r w:rsidR="00B53E4C" w:rsidRPr="008026D3">
        <w:t>güncellenen Avrupa Araştırmacılar Şartı’na uyum çalışmaları çerçevesinde daha sağlıklı ve kapsayıcı biçimde yürütülebilmesi amacıyla Eylül 2025’te ek süre talebinde bulun</w:t>
      </w:r>
      <w:r w:rsidR="00CC2895" w:rsidRPr="008026D3">
        <w:t>ul</w:t>
      </w:r>
      <w:r w:rsidR="00B53E4C" w:rsidRPr="008026D3">
        <w:t xml:space="preserve">muştur. Üniversitenin </w:t>
      </w:r>
      <w:r w:rsidR="00DA0001" w:rsidRPr="008026D3">
        <w:t>çok sayıda</w:t>
      </w:r>
      <w:r w:rsidR="00B53E4C" w:rsidRPr="008026D3">
        <w:t xml:space="preserve"> birimi</w:t>
      </w:r>
      <w:r w:rsidR="00DA0001" w:rsidRPr="008026D3">
        <w:t>ni</w:t>
      </w:r>
      <w:r w:rsidR="00B53E4C" w:rsidRPr="008026D3">
        <w:t xml:space="preserve"> kapsayan uyum, veri toplama ve farkındalık faaliyetlerinin analiz</w:t>
      </w:r>
      <w:r w:rsidR="00DA0001" w:rsidRPr="008026D3">
        <w:t xml:space="preserve"> sürecinin başlamasıyla</w:t>
      </w:r>
      <w:r w:rsidR="00154899" w:rsidRPr="008026D3">
        <w:t xml:space="preserve"> birlikte</w:t>
      </w:r>
      <w:r w:rsidR="00B53E4C" w:rsidRPr="008026D3">
        <w:t xml:space="preserve"> Mart 2026’da </w:t>
      </w:r>
      <w:r w:rsidR="008026D3" w:rsidRPr="008026D3">
        <w:t>sunulacak</w:t>
      </w:r>
      <w:r w:rsidR="00B53E4C" w:rsidRPr="008026D3">
        <w:t xml:space="preserve"> HR Logo yenileme raporlarının hazırlanmasına yönelik çalışmalar sürdürülmektedir.</w:t>
      </w:r>
      <w:r w:rsidR="004B71DF" w:rsidRPr="008026D3">
        <w:t xml:space="preserve"> </w:t>
      </w:r>
      <w:r w:rsidR="0041211F" w:rsidRPr="008026D3">
        <w:t>Bu süreci desteklemek amacıyla, HR Logo çerçevesinde EURAXESS Türkiye ağı tarafından düzenlenen ve üniversiteler arasında değerlendirme süreçleri, iyi uygulamalar ve güncel gelişimlerin paylaşıldığı çevrim içi koordinasyon toplantılarına Ekim ve Kasım 2025 aylarında iki kez katılım sağlanmış; bu platform aracılığıyla kurumsal öğrenme ve ulusal düzeyde uyumun güçlendirilmesi hedeflenmiştir.</w:t>
      </w:r>
      <w:r w:rsidR="0041211F" w:rsidRPr="008026D3" w:rsidDel="00B53E4C">
        <w:t xml:space="preserve"> </w:t>
      </w:r>
    </w:p>
    <w:p w14:paraId="777DCD0E" w14:textId="77777777" w:rsidR="00632A2C" w:rsidRPr="0079362F" w:rsidRDefault="00C841E2" w:rsidP="00A47782">
      <w:pPr>
        <w:spacing w:after="120"/>
        <w:jc w:val="both"/>
      </w:pPr>
      <w:r w:rsidRPr="00BB669F">
        <w:t xml:space="preserve">Avrupa Komisyonu, 1 Ocak 2022 tarihi itibariyle Ufuk Avrupa Çerçeve Programı çağrılarına başvuran kurumların Toplumsal Cinsiyet Eşitliği Planı’na (TCEP) sahip olmaları zorunluluğunu getirmiştir. Bu değişiklik sonucu, Üniversite Senatosu onayından geçmiş bir TCEP sahibi olmak Ufuk Avrupa programından yararlanabilmek için önkoşul halini almıştır. Araştırmalar Koordinatörlüğü'nün girişimiyle başlatılan ODTÜ TCEP çalışmaları kapsamında kurum içinde çıkılan ilgi beyanını takiben, farklı fakülte ve akademik unvanlardan araştırmacılarımızın katılımıyla Eylül 2021’de Rektör Danışmanı Prof. Dr. Gaye Teksöz başkanlığında ODTÜ TCEP Çalışma Grubu oluşturulmuştur. Bu çalışma grubu tarafından, üniversitemizin çeşitli birimlerinden toplanan verilere dayanılarak bir mevcut durum analizi yapılmış ve kurumun bu alandaki zayıf ve güçlü yönleri belirlenmiştir. Bu analiz doğrultusunda </w:t>
      </w:r>
      <w:r w:rsidRPr="00BB669F">
        <w:lastRenderedPageBreak/>
        <w:t xml:space="preserve">2022-2026 dönemi için bir Eylem Planı hazırlanmış ve 29 Aralık 2021 tarihinde Üniversitemiz Senatosu tarafından onaylanmıştır. </w:t>
      </w:r>
      <w:r w:rsidR="00334B94" w:rsidRPr="00BB669F">
        <w:t>2025 yılı itibarıyla TCEP’nin uygulanması ve izlenmesi kapsamında Çalışma Grubu yeniden toplanmış; farklı disiplinlerden akademisyenlerin yanı sıra ilgili idari birim temsilcilerinin katılımıyla toplantılar gerçekleştirilmiştir. Bu toplantılarda özellikle cinsiyete göre ayrıştırılmış verilerin toplanması ve bu verilerin HR Logo</w:t>
      </w:r>
      <w:r w:rsidR="008358D5" w:rsidRPr="00BB669F">
        <w:t xml:space="preserve"> </w:t>
      </w:r>
      <w:r w:rsidR="00334B94" w:rsidRPr="00BB669F">
        <w:t xml:space="preserve">anketi ile TCEP öncelikleriyle uyumlu biçimde yapılandırılması öncelikli gündem maddeleri arasında yer almıştır. Ayrıca 2022–2026 Eylem Planı’nın beş yıllık uygulama döneminin 2026 yılında değerlendirileceği ve bunu takiben hazırlanacak yeni beş yıllık TCEP </w:t>
      </w:r>
      <w:r w:rsidR="00BB669F" w:rsidRPr="00BB669F">
        <w:t xml:space="preserve">Eylem Planı </w:t>
      </w:r>
      <w:r w:rsidR="00334B94" w:rsidRPr="00BB669F">
        <w:t>için görüş ve önerilerin toplanmasına yönelik bir yol haritası oluşturulmuştur.</w:t>
      </w:r>
      <w:r w:rsidR="005655CA" w:rsidRPr="00BB669F">
        <w:t xml:space="preserve"> </w:t>
      </w:r>
      <w:r w:rsidR="00334B94" w:rsidRPr="00BB669F">
        <w:t xml:space="preserve">Bu çalışmalar sayesinde, ODTÜ’nün Ufuk Avrupa başvurularının </w:t>
      </w:r>
      <w:r w:rsidR="005655CA" w:rsidRPr="00BB669F">
        <w:t>TCEP</w:t>
      </w:r>
      <w:r w:rsidR="00334B94" w:rsidRPr="00BB669F">
        <w:t xml:space="preserve"> ilkeleriyle uyumlu şekilde kurgulanmasına yönelik kurumsal kapasitesi güçlendirilmiş</w:t>
      </w:r>
      <w:r w:rsidR="0037019F" w:rsidRPr="00BB669F">
        <w:t xml:space="preserve"> ve</w:t>
      </w:r>
      <w:r w:rsidR="00334B94" w:rsidRPr="00BB669F">
        <w:t xml:space="preserve"> araştırma süreçlerine entegre </w:t>
      </w:r>
      <w:r w:rsidR="0037019F" w:rsidRPr="00BB669F">
        <w:t>edilmesi</w:t>
      </w:r>
      <w:r w:rsidR="00334B94" w:rsidRPr="00BB669F">
        <w:t xml:space="preserve"> </w:t>
      </w:r>
      <w:r w:rsidR="00334B94" w:rsidRPr="0079362F">
        <w:t>desteklenmiştir.</w:t>
      </w:r>
    </w:p>
    <w:p w14:paraId="5958C002" w14:textId="72DCE793" w:rsidR="00632A2C" w:rsidRDefault="0079362F" w:rsidP="00A47782">
      <w:pPr>
        <w:spacing w:after="120"/>
        <w:jc w:val="both"/>
      </w:pPr>
      <w:r w:rsidRPr="0079362F">
        <w:rPr>
          <w:rFonts w:eastAsia="Calibri"/>
        </w:rPr>
        <w:t>Son olarak, k</w:t>
      </w:r>
      <w:r w:rsidR="00632A2C" w:rsidRPr="0079362F">
        <w:rPr>
          <w:rFonts w:eastAsia="Calibri"/>
        </w:rPr>
        <w:t xml:space="preserve">oordinatörlüğümüzün koordinatörlüğünü üstlendiği </w:t>
      </w:r>
      <w:r w:rsidR="00632A2C" w:rsidRPr="0079362F">
        <w:t>TÜBİTAK 4004 Doğa Eğitimi ve Bilim Okulları Programı kapsamında 224B471 kod numarası ile desteklenen "Tıkla Öğren, Güvende Kal: Gençler İçin Etkileşimli Siber Dayanıklılık Eğitimi " projesi, gençlerin siber tehditleri tanıması, dijital güvenlik farkındalığı kazanması ve teknoloji okuryazarlıklarının artırılması amacıyla 30 Haziran – 4 Temmuz 2025 tarihleri arasında O</w:t>
      </w:r>
      <w:r w:rsidR="003A1628">
        <w:t xml:space="preserve">DTÜ </w:t>
      </w:r>
      <w:r w:rsidR="00632A2C" w:rsidRPr="0079362F">
        <w:t>Ankara yerleşkesi</w:t>
      </w:r>
      <w:r w:rsidR="003A1628">
        <w:t xml:space="preserve"> Araştırma Parkı binasında </w:t>
      </w:r>
      <w:r w:rsidR="00632A2C" w:rsidRPr="0079362F">
        <w:t>gerçekleştiril</w:t>
      </w:r>
      <w:r w:rsidR="003A1628">
        <w:t>miştir</w:t>
      </w:r>
      <w:r w:rsidR="00632A2C" w:rsidRPr="0079362F">
        <w:t>. Ağırlıklı olarak ortaokul 7.sınıf öğrencilerin</w:t>
      </w:r>
      <w:r w:rsidR="003A1628">
        <w:t>in</w:t>
      </w:r>
      <w:r w:rsidR="00632A2C" w:rsidRPr="0079362F">
        <w:t xml:space="preserve"> katıl</w:t>
      </w:r>
      <w:r w:rsidR="003A1628">
        <w:t>ım</w:t>
      </w:r>
      <w:r w:rsidR="00632A2C" w:rsidRPr="0079362F">
        <w:t xml:space="preserve"> gösterdiği eğitim toplam 85 öğrenciye verilmiştir. Eğitim programı süresince; dijital ayak izi, parola güvenliği, sosyal mühendislik, siber zorbalık ve zararlı yazılımlar gibi temel siber güvenlik konuları, gerçek hayat senaryoları ve etkileşimli grup çalışmalarıyla ele alınmıştır. Projenin yaygınlaştırma faaliyetleri kapsamında, siber güvenlik bilincini pekiştirmek amacıyla anime tarzı eğitici hikâye serileri geliştirilmiş</w:t>
      </w:r>
      <w:r w:rsidR="003A1628">
        <w:t>tir</w:t>
      </w:r>
      <w:r w:rsidR="00632A2C" w:rsidRPr="0079362F">
        <w:t xml:space="preserve"> ve Eylül 2025 döneminde dijital erişime sunulmuştur. Çalışma, katılımcıların dijital dünyada güvenli kalma stratejilerini içselleştirmelerine ve siber dayanıklılık yetkinliklerini geliştirmelerine katkı sağlamıştır. Proje hakkında detaylı bilgi için proje sayfa adresleri: </w:t>
      </w:r>
      <w:hyperlink r:id="rId10" w:history="1">
        <w:r w:rsidR="00632A2C" w:rsidRPr="0079362F">
          <w:rPr>
            <w:rStyle w:val="Kpr"/>
          </w:rPr>
          <w:t>TÜBİTAK sayfası</w:t>
        </w:r>
      </w:hyperlink>
      <w:r w:rsidR="00632A2C" w:rsidRPr="0079362F">
        <w:t xml:space="preserve">, </w:t>
      </w:r>
      <w:hyperlink r:id="rId11" w:history="1">
        <w:r w:rsidR="00632A2C" w:rsidRPr="0079362F">
          <w:rPr>
            <w:rStyle w:val="Kpr"/>
          </w:rPr>
          <w:t>Araştırmalar Koordinatörlüğü sayfası</w:t>
        </w:r>
      </w:hyperlink>
      <w:r w:rsidR="00632A2C" w:rsidRPr="001F6B8D">
        <w:t xml:space="preserve"> </w:t>
      </w:r>
    </w:p>
    <w:p w14:paraId="0BA95FD6" w14:textId="77777777" w:rsidR="0008411F" w:rsidRDefault="00BF4892" w:rsidP="005B5114">
      <w:pPr>
        <w:spacing w:after="120"/>
        <w:jc w:val="both"/>
        <w:rPr>
          <w:b/>
        </w:rPr>
      </w:pPr>
      <w:r w:rsidRPr="004B0471">
        <w:rPr>
          <w:b/>
        </w:rPr>
        <w:t>Ulusal Ar-Ge Destekleri:</w:t>
      </w:r>
    </w:p>
    <w:p w14:paraId="2280E280" w14:textId="2CF72917" w:rsidR="00B86FE1" w:rsidRPr="004B0471" w:rsidRDefault="0008411F" w:rsidP="00A47782">
      <w:pPr>
        <w:spacing w:after="120"/>
        <w:jc w:val="both"/>
        <w:rPr>
          <w:rFonts w:eastAsia="Calibri"/>
          <w:color w:val="000000" w:themeColor="text1"/>
        </w:rPr>
      </w:pPr>
      <w:r w:rsidRPr="0008411F">
        <w:rPr>
          <w:b/>
          <w:bCs/>
        </w:rPr>
        <w:t>TÜBİTAK ARDEB 1001:</w:t>
      </w:r>
      <w:r>
        <w:t xml:space="preserve"> </w:t>
      </w:r>
      <w:r w:rsidR="00733CE8">
        <w:t>TÜ</w:t>
      </w:r>
      <w:r w:rsidR="00BF4892" w:rsidRPr="004B0471">
        <w:t xml:space="preserve">BİTAK ARDEB 1001 Programı için 2025 yılında iki dönem olmak üzere çağrı açılmıştır ve bu çağrılar kapsamında Üniversitemizden 2025 yılında ODTÜ’den toplam 62 başvuru </w:t>
      </w:r>
      <w:r>
        <w:t>yapılmış ve</w:t>
      </w:r>
      <w:r w:rsidR="00BF4892" w:rsidRPr="004B0471">
        <w:t xml:space="preserve"> </w:t>
      </w:r>
      <w:r w:rsidR="00DF4E33" w:rsidRPr="004B0471">
        <w:t>%</w:t>
      </w:r>
      <w:r w:rsidR="00DF4E33">
        <w:t>50</w:t>
      </w:r>
      <w:r w:rsidR="00BF4892" w:rsidRPr="004B0471">
        <w:t xml:space="preserve"> başarı kazanılmıştır</w:t>
      </w:r>
      <w:r>
        <w:t>;</w:t>
      </w:r>
      <w:r w:rsidR="00BF4892" w:rsidRPr="004B0471">
        <w:t xml:space="preserve"> ODTÜ-GÜNAM’dan ise 2 adet proje önerisi desteklenmeye hak kazanmıştır (aynı dönemde sunulan ve bir sonraki dönemi beklemeden tekrar başvuru yapmaya hak kazanan projeler dahil)</w:t>
      </w:r>
      <w:r>
        <w:rPr>
          <w:rFonts w:eastAsia="Calibri"/>
          <w:color w:val="000000" w:themeColor="text1"/>
        </w:rPr>
        <w:t>.</w:t>
      </w:r>
    </w:p>
    <w:p w14:paraId="02862B1A" w14:textId="77777777" w:rsidR="00BB1908" w:rsidRDefault="00252AFD" w:rsidP="00A47782">
      <w:pPr>
        <w:spacing w:after="120"/>
        <w:jc w:val="both"/>
        <w:rPr>
          <w:rFonts w:eastAsia="Calibri"/>
        </w:rPr>
      </w:pPr>
      <w:r w:rsidRPr="00BB1908">
        <w:rPr>
          <w:rFonts w:eastAsia="Calibri"/>
          <w:b/>
          <w:bCs/>
        </w:rPr>
        <w:t xml:space="preserve">ADEP-2025: </w:t>
      </w:r>
      <w:r w:rsidRPr="00BB1908">
        <w:rPr>
          <w:rFonts w:eastAsia="Calibri"/>
        </w:rPr>
        <w:t>YÖK tarafından yürütülen Araştırma Üniversiteleri Destek Programı (ADEP) kapsamında üniversitemizden 26 adet proje başvurusu yapılmıştır. Bunlardan 19 tanesi toplamda ~73 milyon TL ile desteklenmiştir.</w:t>
      </w:r>
    </w:p>
    <w:p w14:paraId="092886EB" w14:textId="1DF412C6" w:rsidR="00BB1908" w:rsidRDefault="001706F9" w:rsidP="00A47782">
      <w:pPr>
        <w:spacing w:after="120"/>
        <w:jc w:val="both"/>
        <w:rPr>
          <w:rFonts w:eastAsia="Calibri"/>
        </w:rPr>
      </w:pPr>
      <w:r w:rsidRPr="004B0471">
        <w:rPr>
          <w:b/>
          <w:bCs/>
        </w:rPr>
        <w:t>BİDEB 2232</w:t>
      </w:r>
      <w:r w:rsidRPr="004B0471">
        <w:t xml:space="preserve">-A/B Uluslararası Lider/Genç Araştırmacılar Programı çerçevesinde üniversitemizde hâlihazırda devam eden 12 proje bulunmaktadır. 2025 çağrısı kapsamında 16 araştırmacı çalışmalarını üniversitemizde gerçekleştirmek </w:t>
      </w:r>
      <w:r w:rsidR="000B520D">
        <w:t>üzere</w:t>
      </w:r>
      <w:r w:rsidRPr="004B0471">
        <w:t xml:space="preserve"> başvuruda bulunmuştur. Başvuru yapan araştırmacılardan 6</w:t>
      </w:r>
      <w:r w:rsidR="000B520D">
        <w:t xml:space="preserve">’sı </w:t>
      </w:r>
      <w:r w:rsidRPr="004B0471">
        <w:t>Fen</w:t>
      </w:r>
      <w:r w:rsidR="000B520D">
        <w:t>-</w:t>
      </w:r>
      <w:r w:rsidRPr="004B0471">
        <w:t>Edebiyat Fakültesi, 7</w:t>
      </w:r>
      <w:r w:rsidR="000B520D">
        <w:t xml:space="preserve">’si </w:t>
      </w:r>
      <w:r w:rsidRPr="004B0471">
        <w:t>Mühendislik Fakültesi, 1</w:t>
      </w:r>
      <w:r w:rsidR="000B520D">
        <w:t xml:space="preserve">’i </w:t>
      </w:r>
      <w:r w:rsidRPr="004B0471">
        <w:t>Enformatik Enstitüsü, 2</w:t>
      </w:r>
      <w:r w:rsidR="000B520D">
        <w:t xml:space="preserve">’si </w:t>
      </w:r>
      <w:r w:rsidRPr="004B0471">
        <w:t>ENDAM bünyesinde araştırmalarını yürütmek istemektedir.</w:t>
      </w:r>
    </w:p>
    <w:p w14:paraId="443EDCC0" w14:textId="00EDAAEF" w:rsidR="00BB1908" w:rsidRDefault="001E459D" w:rsidP="00A47782">
      <w:pPr>
        <w:spacing w:after="120"/>
        <w:jc w:val="both"/>
        <w:rPr>
          <w:rFonts w:eastAsia="Calibri"/>
        </w:rPr>
      </w:pPr>
      <w:r>
        <w:lastRenderedPageBreak/>
        <w:t>MSCA-</w:t>
      </w:r>
      <w:r w:rsidR="001706F9" w:rsidRPr="004B0471">
        <w:t xml:space="preserve">COFUND </w:t>
      </w:r>
      <w:r w:rsidR="001706F9" w:rsidRPr="004B0471">
        <w:rPr>
          <w:bCs/>
          <w:color w:val="000000"/>
        </w:rPr>
        <w:t xml:space="preserve">çerçevesinde Avrupa Komisyonu tarafından finanse edilen ve ülkemizde TÜBİTAK tarafından yürütülen </w:t>
      </w:r>
      <w:r w:rsidR="001706F9" w:rsidRPr="00C17D6B">
        <w:rPr>
          <w:b/>
          <w:color w:val="000000"/>
        </w:rPr>
        <w:t>BİDEB 2236</w:t>
      </w:r>
      <w:r w:rsidR="001706F9" w:rsidRPr="004B0471">
        <w:rPr>
          <w:color w:val="000000"/>
        </w:rPr>
        <w:t xml:space="preserve"> CoCirculation3 Programına araştırmalarına üniversitemizde devam etmek isteyen 39 araştırmacı başvurmuştur</w:t>
      </w:r>
      <w:r w:rsidR="00506A1D">
        <w:rPr>
          <w:color w:val="000000"/>
        </w:rPr>
        <w:t>.</w:t>
      </w:r>
    </w:p>
    <w:p w14:paraId="512E7654" w14:textId="6B5DE7E9" w:rsidR="00BB1908" w:rsidRDefault="00252AFD" w:rsidP="00A47782">
      <w:pPr>
        <w:spacing w:after="120"/>
        <w:jc w:val="both"/>
        <w:rPr>
          <w:rFonts w:eastAsia="Calibri"/>
        </w:rPr>
      </w:pPr>
      <w:r w:rsidRPr="00C17D6B">
        <w:rPr>
          <w:b/>
          <w:bCs/>
        </w:rPr>
        <w:t>TU11</w:t>
      </w:r>
      <w:r w:rsidRPr="004B0471">
        <w:t xml:space="preserve"> İş Birliği Projeleri, Türkiye’deki 11 teknik üniversitenin araştırma altyapısı ve akademik birikimini bir araya getirerek, kurumlar arası ve disiplinler arası iş birliklerini güçlendirmeyi hedefleyen bir programdır. Bu program dahilinde 10 adet ortaklı proje başvuru</w:t>
      </w:r>
      <w:r w:rsidR="00C842F8">
        <w:t xml:space="preserve">su </w:t>
      </w:r>
      <w:r w:rsidRPr="004B0471">
        <w:t>yapılmış</w:t>
      </w:r>
      <w:r w:rsidR="00C842F8">
        <w:t xml:space="preserve">, </w:t>
      </w:r>
      <w:r w:rsidRPr="004B0471">
        <w:t>bunlardan 4 tanesi desteklenmiştir.</w:t>
      </w:r>
    </w:p>
    <w:p w14:paraId="01B584BF" w14:textId="77777777" w:rsidR="00BB1908" w:rsidRDefault="005670A4" w:rsidP="00A47782">
      <w:pPr>
        <w:spacing w:after="120"/>
        <w:jc w:val="both"/>
        <w:rPr>
          <w:rFonts w:eastAsia="Calibri"/>
        </w:rPr>
      </w:pPr>
      <w:r w:rsidRPr="004B0471">
        <w:rPr>
          <w:rFonts w:eastAsia="Calibri"/>
          <w:lang w:eastAsia="tr-TR"/>
        </w:rPr>
        <w:t>Cumhurbaşkanlığı Strateji ve Bütçe Başkanlığı (</w:t>
      </w:r>
      <w:r w:rsidRPr="00C17D6B">
        <w:rPr>
          <w:rFonts w:eastAsia="Calibri"/>
          <w:b/>
          <w:bCs/>
          <w:lang w:eastAsia="tr-TR"/>
        </w:rPr>
        <w:t>SBB</w:t>
      </w:r>
      <w:r w:rsidRPr="004B0471">
        <w:rPr>
          <w:rFonts w:eastAsia="Calibri"/>
          <w:lang w:eastAsia="tr-TR"/>
        </w:rPr>
        <w:t>), Kamu Yatırım Programı aracılığıyla 2025 yılında 10 adet devam eden proje için toplam 277.000.000 TL destek sağlamıştır. </w:t>
      </w:r>
    </w:p>
    <w:p w14:paraId="55217596" w14:textId="77777777" w:rsidR="00BB1908" w:rsidRDefault="005670A4" w:rsidP="00A47782">
      <w:pPr>
        <w:spacing w:after="120"/>
        <w:jc w:val="both"/>
        <w:rPr>
          <w:rFonts w:eastAsia="Calibri"/>
        </w:rPr>
      </w:pPr>
      <w:r w:rsidRPr="004B0471">
        <w:rPr>
          <w:rFonts w:eastAsia="Calibri"/>
          <w:lang w:eastAsia="tr-TR"/>
        </w:rPr>
        <w:t>2025 yılı içerisinde Uygulama ve Araştırma merkezleri faaliyetleri kapsamında YÖK tarafından kurulan sisteme (</w:t>
      </w:r>
      <w:r w:rsidRPr="00C17D6B">
        <w:rPr>
          <w:rFonts w:eastAsia="Calibri"/>
          <w:b/>
          <w:bCs/>
          <w:lang w:eastAsia="tr-TR"/>
        </w:rPr>
        <w:t>YÖKSİS</w:t>
      </w:r>
      <w:r w:rsidRPr="004B0471">
        <w:rPr>
          <w:rFonts w:eastAsia="Calibri"/>
          <w:lang w:eastAsia="tr-TR"/>
        </w:rPr>
        <w:t>) 31 merkezin faaliyetleri 6’şar aylık dönemlerde işlenmiştir.  Ayrıca, Merkezler Yönergesi çalışmaları başlatılmıştır.</w:t>
      </w:r>
    </w:p>
    <w:p w14:paraId="1C543588" w14:textId="77777777" w:rsidR="00BB1908" w:rsidRDefault="00D94E4C" w:rsidP="00A47782">
      <w:pPr>
        <w:spacing w:after="120"/>
        <w:jc w:val="both"/>
        <w:rPr>
          <w:rFonts w:eastAsia="Calibri"/>
        </w:rPr>
      </w:pPr>
      <w:r w:rsidRPr="004B0471">
        <w:rPr>
          <w:rFonts w:eastAsia="Calibri"/>
          <w:b/>
          <w:color w:val="000000" w:themeColor="text1"/>
        </w:rPr>
        <w:t>ÖYP</w:t>
      </w:r>
      <w:r w:rsidRPr="004B0471">
        <w:rPr>
          <w:rFonts w:eastAsia="Calibri"/>
          <w:color w:val="000000" w:themeColor="text1"/>
        </w:rPr>
        <w:t xml:space="preserve"> (Öğretim Üyesi Yetiştirme Programı), 2010 yılına kadar ODTÜ tarafından DPT desteğiyle yürütülürken, 2010 yılından itibaren YÖK’e devredilmiştir. ÖYP birimi, programın ODTÜ’deki işleyişinden sorumludur. ÖYP adaylarının atama işlemleri ilgili daire başkanlıkları tarafından yapılmakta, ÖYP birimi tarafından koordine edilmektedir. Program 2020 yılından itibaren aday kabulü yapmamıştır. 2025 yılında ÖYP’de gerçekleşen rakamlarla ilgili özet bilgiler ve tablo aşağıda verilmektedir.</w:t>
      </w:r>
    </w:p>
    <w:tbl>
      <w:tblPr>
        <w:tblStyle w:val="KlavuzuTablo4"/>
        <w:tblW w:w="6705" w:type="dxa"/>
        <w:tblLook w:val="04A0" w:firstRow="1" w:lastRow="0" w:firstColumn="1" w:lastColumn="0" w:noHBand="0" w:noVBand="1"/>
      </w:tblPr>
      <w:tblGrid>
        <w:gridCol w:w="5845"/>
        <w:gridCol w:w="860"/>
      </w:tblGrid>
      <w:tr w:rsidR="00BB1908" w:rsidRPr="004B0471" w14:paraId="275A0271" w14:textId="77777777" w:rsidTr="00A47782">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845" w:type="dxa"/>
            <w:noWrap/>
            <w:vAlign w:val="center"/>
            <w:hideMark/>
          </w:tcPr>
          <w:p w14:paraId="3D3EDA08" w14:textId="77777777" w:rsidR="00BB1908" w:rsidRPr="004B0471" w:rsidRDefault="00BB1908" w:rsidP="002764D8">
            <w:pPr>
              <w:spacing w:before="20" w:after="20"/>
              <w:jc w:val="both"/>
              <w:rPr>
                <w:rFonts w:eastAsia="Calibri"/>
                <w:color w:val="000000" w:themeColor="text1"/>
              </w:rPr>
            </w:pPr>
            <w:r w:rsidRPr="004B0471">
              <w:rPr>
                <w:rFonts w:eastAsia="Calibri"/>
                <w:color w:val="000000" w:themeColor="text1"/>
              </w:rPr>
              <w:t>ÖYP DURUMU</w:t>
            </w:r>
          </w:p>
        </w:tc>
        <w:tc>
          <w:tcPr>
            <w:tcW w:w="860" w:type="dxa"/>
            <w:noWrap/>
            <w:vAlign w:val="center"/>
            <w:hideMark/>
          </w:tcPr>
          <w:p w14:paraId="2F3F3827" w14:textId="77777777" w:rsidR="00BB1908" w:rsidRPr="004B0471" w:rsidRDefault="00BB1908" w:rsidP="002764D8">
            <w:pPr>
              <w:spacing w:before="20" w:after="20"/>
              <w:jc w:val="both"/>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4B0471">
              <w:rPr>
                <w:rFonts w:eastAsia="Calibri"/>
                <w:color w:val="000000" w:themeColor="text1"/>
              </w:rPr>
              <w:t>SAYI</w:t>
            </w:r>
          </w:p>
        </w:tc>
      </w:tr>
      <w:tr w:rsidR="00BB1908" w:rsidRPr="004B0471" w14:paraId="7D4B5928" w14:textId="77777777" w:rsidTr="00A47782">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8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431C6D76" w14:textId="77777777" w:rsidR="00BB1908" w:rsidRPr="004B0471" w:rsidRDefault="00BB1908" w:rsidP="002764D8">
            <w:pPr>
              <w:spacing w:before="20" w:after="20"/>
              <w:jc w:val="both"/>
              <w:rPr>
                <w:rFonts w:eastAsia="Calibri"/>
                <w:b w:val="0"/>
                <w:bCs w:val="0"/>
                <w:color w:val="000000" w:themeColor="text1"/>
              </w:rPr>
            </w:pPr>
            <w:r w:rsidRPr="004B0471">
              <w:rPr>
                <w:rFonts w:eastAsia="Calibri"/>
                <w:color w:val="000000" w:themeColor="text1"/>
              </w:rPr>
              <w:t>ÖYP'ye YÖK Kapsamında Kabul Edilen (2010-2021)</w:t>
            </w:r>
          </w:p>
        </w:tc>
        <w:tc>
          <w:tcPr>
            <w:tcW w:w="86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34A01B7D" w14:textId="77777777" w:rsidR="00BB1908" w:rsidRPr="004B0471" w:rsidRDefault="00BB1908" w:rsidP="002764D8">
            <w:pPr>
              <w:spacing w:before="20" w:after="20"/>
              <w:jc w:val="both"/>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4B0471">
              <w:rPr>
                <w:rFonts w:eastAsia="Calibri"/>
                <w:color w:val="000000" w:themeColor="text1"/>
              </w:rPr>
              <w:t>447</w:t>
            </w:r>
          </w:p>
        </w:tc>
      </w:tr>
      <w:tr w:rsidR="00BB1908" w:rsidRPr="004B0471" w14:paraId="6799D2D7" w14:textId="77777777" w:rsidTr="00A47782">
        <w:trPr>
          <w:trHeight w:val="58"/>
        </w:trPr>
        <w:tc>
          <w:tcPr>
            <w:cnfStyle w:val="001000000000" w:firstRow="0" w:lastRow="0" w:firstColumn="1" w:lastColumn="0" w:oddVBand="0" w:evenVBand="0" w:oddHBand="0" w:evenHBand="0" w:firstRowFirstColumn="0" w:firstRowLastColumn="0" w:lastRowFirstColumn="0" w:lastRowLastColumn="0"/>
            <w:tcW w:w="58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4EA85010" w14:textId="77777777" w:rsidR="00BB1908" w:rsidRPr="004B0471" w:rsidRDefault="00BB1908" w:rsidP="002764D8">
            <w:pPr>
              <w:spacing w:before="20" w:after="20"/>
              <w:jc w:val="both"/>
              <w:rPr>
                <w:rFonts w:eastAsia="Calibri"/>
                <w:b w:val="0"/>
                <w:bCs w:val="0"/>
                <w:color w:val="000000" w:themeColor="text1"/>
              </w:rPr>
            </w:pPr>
            <w:r w:rsidRPr="004B0471">
              <w:rPr>
                <w:rFonts w:eastAsia="Calibri"/>
                <w:color w:val="000000" w:themeColor="text1"/>
              </w:rPr>
              <w:t xml:space="preserve">ÖYP'ye Devam Eden </w:t>
            </w:r>
          </w:p>
        </w:tc>
        <w:tc>
          <w:tcPr>
            <w:tcW w:w="86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2A144B4F" w14:textId="77777777" w:rsidR="00BB1908" w:rsidRPr="004B0471" w:rsidRDefault="00BB1908" w:rsidP="002764D8">
            <w:pPr>
              <w:spacing w:before="20" w:after="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4B0471">
              <w:rPr>
                <w:rFonts w:eastAsia="Calibri"/>
                <w:color w:val="000000" w:themeColor="text1"/>
              </w:rPr>
              <w:t>13</w:t>
            </w:r>
          </w:p>
        </w:tc>
      </w:tr>
      <w:tr w:rsidR="00BB1908" w:rsidRPr="004B0471" w14:paraId="16E4BBA4" w14:textId="77777777" w:rsidTr="00A47782">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8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133A6457" w14:textId="77777777" w:rsidR="00BB1908" w:rsidRPr="004B0471" w:rsidRDefault="00BB1908" w:rsidP="002764D8">
            <w:pPr>
              <w:spacing w:before="20" w:after="20"/>
              <w:jc w:val="both"/>
              <w:rPr>
                <w:rFonts w:eastAsia="Calibri"/>
                <w:b w:val="0"/>
                <w:bCs w:val="0"/>
                <w:color w:val="000000" w:themeColor="text1"/>
              </w:rPr>
            </w:pPr>
            <w:r w:rsidRPr="004B0471">
              <w:rPr>
                <w:rFonts w:eastAsia="Calibri"/>
                <w:color w:val="000000" w:themeColor="text1"/>
              </w:rPr>
              <w:t>Mezun (Toplam)</w:t>
            </w:r>
          </w:p>
        </w:tc>
        <w:tc>
          <w:tcPr>
            <w:tcW w:w="86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4228161A" w14:textId="77777777" w:rsidR="00BB1908" w:rsidRPr="004B0471" w:rsidRDefault="00BB1908" w:rsidP="002764D8">
            <w:pPr>
              <w:spacing w:before="20" w:after="20"/>
              <w:jc w:val="both"/>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4B0471">
              <w:rPr>
                <w:rFonts w:eastAsia="Calibri"/>
                <w:color w:val="000000" w:themeColor="text1"/>
              </w:rPr>
              <w:t>128</w:t>
            </w:r>
          </w:p>
        </w:tc>
      </w:tr>
      <w:tr w:rsidR="00BB1908" w:rsidRPr="004B0471" w14:paraId="23221191" w14:textId="77777777" w:rsidTr="00A47782">
        <w:trPr>
          <w:trHeight w:val="58"/>
        </w:trPr>
        <w:tc>
          <w:tcPr>
            <w:cnfStyle w:val="001000000000" w:firstRow="0" w:lastRow="0" w:firstColumn="1" w:lastColumn="0" w:oddVBand="0" w:evenVBand="0" w:oddHBand="0" w:evenHBand="0" w:firstRowFirstColumn="0" w:firstRowLastColumn="0" w:lastRowFirstColumn="0" w:lastRowLastColumn="0"/>
            <w:tcW w:w="58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5FFF2E09" w14:textId="77777777" w:rsidR="00BB1908" w:rsidRPr="004B0471" w:rsidRDefault="00BB1908" w:rsidP="002764D8">
            <w:pPr>
              <w:spacing w:before="20" w:after="20"/>
              <w:jc w:val="both"/>
              <w:rPr>
                <w:rFonts w:eastAsia="Calibri"/>
                <w:b w:val="0"/>
                <w:bCs w:val="0"/>
                <w:color w:val="000000" w:themeColor="text1"/>
              </w:rPr>
            </w:pPr>
            <w:r w:rsidRPr="004B0471">
              <w:rPr>
                <w:rFonts w:eastAsia="Calibri"/>
                <w:color w:val="000000" w:themeColor="text1"/>
              </w:rPr>
              <w:t>Akademik Başarısızlık*</w:t>
            </w:r>
          </w:p>
        </w:tc>
        <w:tc>
          <w:tcPr>
            <w:tcW w:w="86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5B95F698" w14:textId="77777777" w:rsidR="00BB1908" w:rsidRPr="004B0471" w:rsidRDefault="00BB1908" w:rsidP="002764D8">
            <w:pPr>
              <w:spacing w:before="20" w:after="20"/>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4B0471">
              <w:rPr>
                <w:rFonts w:eastAsia="Calibri"/>
                <w:color w:val="000000" w:themeColor="text1"/>
              </w:rPr>
              <w:t>124</w:t>
            </w:r>
          </w:p>
        </w:tc>
      </w:tr>
      <w:tr w:rsidR="00BB1908" w:rsidRPr="004B0471" w14:paraId="311950FA" w14:textId="77777777" w:rsidTr="00A47782">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8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6D08B42D" w14:textId="77777777" w:rsidR="00BB1908" w:rsidRPr="004B0471" w:rsidRDefault="00BB1908" w:rsidP="002764D8">
            <w:pPr>
              <w:spacing w:before="20" w:after="20"/>
              <w:jc w:val="both"/>
              <w:rPr>
                <w:rFonts w:eastAsia="Calibri"/>
                <w:b w:val="0"/>
                <w:bCs w:val="0"/>
                <w:color w:val="000000" w:themeColor="text1"/>
              </w:rPr>
            </w:pPr>
            <w:r w:rsidRPr="004B0471">
              <w:rPr>
                <w:rFonts w:eastAsia="Calibri"/>
                <w:color w:val="000000" w:themeColor="text1"/>
              </w:rPr>
              <w:t>İstifa</w:t>
            </w:r>
          </w:p>
        </w:tc>
        <w:tc>
          <w:tcPr>
            <w:tcW w:w="86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01F50DA6" w14:textId="77777777" w:rsidR="00BB1908" w:rsidRPr="004B0471" w:rsidRDefault="00BB1908" w:rsidP="002764D8">
            <w:pPr>
              <w:spacing w:before="20" w:after="20"/>
              <w:jc w:val="both"/>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4B0471">
              <w:rPr>
                <w:rFonts w:eastAsia="Calibri"/>
                <w:color w:val="000000" w:themeColor="text1"/>
              </w:rPr>
              <w:t>75</w:t>
            </w:r>
          </w:p>
        </w:tc>
      </w:tr>
    </w:tbl>
    <w:p w14:paraId="5557FA87" w14:textId="7C81E0E2" w:rsidR="00BB1908" w:rsidRPr="00BB1908" w:rsidRDefault="00BB1908" w:rsidP="00A47782">
      <w:pPr>
        <w:spacing w:after="120"/>
        <w:jc w:val="both"/>
        <w:rPr>
          <w:rFonts w:eastAsia="Calibri"/>
          <w:color w:val="000000" w:themeColor="text1"/>
          <w:sz w:val="21"/>
          <w:szCs w:val="21"/>
        </w:rPr>
      </w:pPr>
      <w:r w:rsidRPr="00BB1908">
        <w:rPr>
          <w:rFonts w:eastAsia="Calibri"/>
          <w:color w:val="000000" w:themeColor="text1"/>
          <w:sz w:val="21"/>
          <w:szCs w:val="21"/>
        </w:rPr>
        <w:t>*Tez aşamasında üniversitesine dönen, kamu görevinden ayrılan vb. araştırma görevlileri dahil edilmemiştir.</w:t>
      </w:r>
    </w:p>
    <w:p w14:paraId="33FFCE73" w14:textId="77777777" w:rsidR="006A098D" w:rsidRDefault="00D94E4C" w:rsidP="00A47782">
      <w:pPr>
        <w:spacing w:after="120"/>
        <w:jc w:val="both"/>
        <w:rPr>
          <w:rFonts w:eastAsia="Calibri"/>
        </w:rPr>
      </w:pPr>
      <w:r w:rsidRPr="004B0471">
        <w:rPr>
          <w:rFonts w:eastAsia="Calibri"/>
          <w:color w:val="000000" w:themeColor="text1"/>
          <w:u w:val="single"/>
        </w:rPr>
        <w:t>ÖYP-YÖK Bütçesi</w:t>
      </w:r>
      <w:r w:rsidRPr="004B0471">
        <w:rPr>
          <w:rFonts w:eastAsia="Calibri"/>
          <w:color w:val="000000" w:themeColor="text1"/>
        </w:rPr>
        <w:t>: 2012 yılından itibaren farklı zamanlarda YÖK tarafından ÖYP özelinde üniversitemize aktarılan toplam bütçe 5.023.170 TL</w:t>
      </w:r>
      <w:r w:rsidR="00B670CE" w:rsidRPr="004B0471">
        <w:rPr>
          <w:rFonts w:eastAsia="Calibri"/>
          <w:color w:val="000000" w:themeColor="text1"/>
        </w:rPr>
        <w:t>’</w:t>
      </w:r>
      <w:r w:rsidRPr="004B0471">
        <w:rPr>
          <w:rFonts w:eastAsia="Calibri"/>
          <w:color w:val="000000" w:themeColor="text1"/>
        </w:rPr>
        <w:t>dir. 2025 yılı içinde 100.000 TL</w:t>
      </w:r>
      <w:r w:rsidR="00B670CE" w:rsidRPr="004B0471">
        <w:rPr>
          <w:rFonts w:eastAsia="Calibri"/>
          <w:color w:val="000000" w:themeColor="text1"/>
        </w:rPr>
        <w:t xml:space="preserve"> </w:t>
      </w:r>
      <w:r w:rsidRPr="004B0471">
        <w:rPr>
          <w:rFonts w:eastAsia="Calibri"/>
          <w:color w:val="000000" w:themeColor="text1"/>
        </w:rPr>
        <w:t>ödenekleştirilmiş olup harcama yapılmamıştır.</w:t>
      </w:r>
    </w:p>
    <w:p w14:paraId="57AD5E25" w14:textId="5E4B84BC" w:rsidR="006A098D" w:rsidRDefault="00E2090A" w:rsidP="00A47782">
      <w:pPr>
        <w:spacing w:after="120"/>
        <w:jc w:val="both"/>
        <w:rPr>
          <w:rFonts w:eastAsia="Calibri"/>
        </w:rPr>
      </w:pPr>
      <w:r w:rsidRPr="004B0471">
        <w:rPr>
          <w:rFonts w:eastAsia="Calibri"/>
          <w:b/>
          <w:color w:val="000000" w:themeColor="text1"/>
        </w:rPr>
        <w:t>DOSAP</w:t>
      </w:r>
      <w:r w:rsidRPr="004B0471">
        <w:rPr>
          <w:rFonts w:eastAsia="Calibri"/>
          <w:color w:val="000000" w:themeColor="text1"/>
        </w:rPr>
        <w:t xml:space="preserve"> (Doktora Sonrası Araştırma Programı), doktorasını tamamladıktan sonra, yurtiçi veya yurtdışında herhangi bir üniversitede öğretim elemanı olarak atanmış ya da bir kamu veya özel kurumda görev yapan bir araştırmacının geçici bir süre için ODTÜ’de bir öğretim üyesi ile birlikte araştırma yapması amacı ile 2004 yılından beri yürütülmektedir. Programın amacı, genç araştırmacıların kendi konusunda uzmanlaşmış öğretim üyeleri ile ortak araştırmalar yapmasını teşvik etmek ve kurumlar arası bilimsel etkileşimi artırmaktır. 2025 yılında DOSAP yönergelerinde bazı değişiklikler yapılmış ve programların isimleri DOSAP, Yükseköğretim Kurulu’nun doktorasını bitirmiş araştırmacıların Üniversitemizde istihdam edilmesine olanak tanıdığı programın adı ise YÖK-DOSAP olarak güncellenmiştir. DOSAP Programlarına ek olarak Üniversitemize gelen</w:t>
      </w:r>
      <w:r w:rsidR="00504691">
        <w:rPr>
          <w:rFonts w:eastAsia="Calibri"/>
          <w:color w:val="000000" w:themeColor="text1"/>
        </w:rPr>
        <w:t>,</w:t>
      </w:r>
      <w:r w:rsidRPr="004B0471">
        <w:rPr>
          <w:rFonts w:eastAsia="Calibri"/>
          <w:color w:val="000000" w:themeColor="text1"/>
        </w:rPr>
        <w:t xml:space="preserve"> doktora mezuniyet süresinin üzerinden 7 yıl geçmiş ziyaretçi araştırmacılar için Konuk Bilim İnsanı programı, lisansüstü düzeyde araştırma yapmak isteyen araştırmacılar içinse Lisansüstü Ziyaretçi Araştırmacı programları DOSAP yönergesi çatısı altında toplanmış; ilgili süreç </w:t>
      </w:r>
      <w:r w:rsidR="00504691">
        <w:rPr>
          <w:rFonts w:eastAsia="Calibri"/>
          <w:color w:val="000000" w:themeColor="text1"/>
        </w:rPr>
        <w:t>belgeleri</w:t>
      </w:r>
      <w:r w:rsidRPr="004B0471">
        <w:rPr>
          <w:rFonts w:eastAsia="Calibri"/>
          <w:color w:val="000000" w:themeColor="text1"/>
        </w:rPr>
        <w:t xml:space="preserve"> hazırlanmıştır. Bu düzenlemeyle, Üniversitemize gelen </w:t>
      </w:r>
      <w:r w:rsidRPr="004B0471">
        <w:rPr>
          <w:rFonts w:eastAsia="Calibri"/>
          <w:color w:val="000000" w:themeColor="text1"/>
        </w:rPr>
        <w:lastRenderedPageBreak/>
        <w:t xml:space="preserve">araştırmacıların kategorilerine açıklık getirilmiş ve işlemlerin yürütülmesinde ortaya çıkabilecek karışıklıkların önlenmesi amaçlanmıştır. </w:t>
      </w:r>
    </w:p>
    <w:p w14:paraId="40089877" w14:textId="04C9263D" w:rsidR="006A098D" w:rsidRDefault="00E2090A" w:rsidP="00A47782">
      <w:pPr>
        <w:spacing w:after="120"/>
        <w:jc w:val="both"/>
        <w:rPr>
          <w:rFonts w:eastAsia="Calibri"/>
        </w:rPr>
      </w:pPr>
      <w:r w:rsidRPr="004B0471">
        <w:rPr>
          <w:rFonts w:eastAsia="Calibri"/>
          <w:color w:val="000000" w:themeColor="text1"/>
        </w:rPr>
        <w:t xml:space="preserve">DOSAP programı kamu kurumlarından, üniversitelerden ve özel şirketlerden gelen araştırmacıları ve herhangi bir yere bağlı çalışmayan ancak, ODTÜ’de yürütülen araştırma projelerinde görev alarak veya burslu olarak ODTÜ’deki bir öğretim üyesi ile doktora sonrası araştırma faaliyeti gerçekleştiren doktoralı araştırmacılar için yürütülmektedir. 2004 yılından bu yana, bu programlar kapsamında yaklaşık 700 araştırmacı Üniversitemizde araştırma yapma fırsatı elde etmiş, yürütülen araştırmaların sonucunda çok sayıda makale yayınlanmış, ulusal ve uluslararası konferanslarda sözlü sunumlar yapılmıştır. 2025 yılında DOSAP programı kapsamında toplam 75 kişi Üniversitemizde görev yapmıştır. 2025 yılında Yükseköğretim Kurulu tarafından desteklenen Devlet Yükseköğretim Kurumlarında Doktora Sonrası Sözleşmeli Araştırmacı Çalıştırılmasına ilişkin usul ve esaslar çerçevesinde, 13 </w:t>
      </w:r>
      <w:r w:rsidR="00DF5888">
        <w:rPr>
          <w:rFonts w:eastAsia="Calibri"/>
          <w:color w:val="000000" w:themeColor="text1"/>
        </w:rPr>
        <w:t>a</w:t>
      </w:r>
      <w:r w:rsidRPr="004B0471">
        <w:rPr>
          <w:rFonts w:eastAsia="Calibri"/>
          <w:color w:val="000000" w:themeColor="text1"/>
        </w:rPr>
        <w:t xml:space="preserve">raştırmacı görevlendirilmiştir. Yükseköğretim Kurulu tarafından desteklenen Doktora Derecesine Sahip Türk veya Yabancı Uyruklu Nitelikli Araştırmacıların Kısmi Zamanlı Görevlendirilmesine İlişkin Usul ve Esaslar çerçevesinde ise, 2025 yılında Üniversitemizde 8 </w:t>
      </w:r>
      <w:r w:rsidR="00DF5888">
        <w:rPr>
          <w:rFonts w:eastAsia="Calibri"/>
          <w:color w:val="000000" w:themeColor="text1"/>
        </w:rPr>
        <w:t>a</w:t>
      </w:r>
      <w:r w:rsidRPr="004B0471">
        <w:rPr>
          <w:rFonts w:eastAsia="Calibri"/>
          <w:color w:val="000000" w:themeColor="text1"/>
        </w:rPr>
        <w:t xml:space="preserve">raştırmacı görevlendirilmiştir. Bu programların yanı sıra Konuk Bilim İnsanı programında 2025 yılında 9 </w:t>
      </w:r>
      <w:r w:rsidR="00DF5888">
        <w:rPr>
          <w:rFonts w:eastAsia="Calibri"/>
          <w:color w:val="000000" w:themeColor="text1"/>
        </w:rPr>
        <w:t>araştırmacı</w:t>
      </w:r>
      <w:r w:rsidRPr="004B0471">
        <w:rPr>
          <w:rFonts w:eastAsia="Calibri"/>
          <w:color w:val="000000" w:themeColor="text1"/>
        </w:rPr>
        <w:t xml:space="preserve">, Lisansüstü Ziyaretçi Programı kapsamında ise 4 araştırmacı görevlendirilmiştir. Tüm DOSAP programları </w:t>
      </w:r>
      <w:r w:rsidR="00DF5888">
        <w:rPr>
          <w:rFonts w:eastAsia="Calibri"/>
          <w:color w:val="000000" w:themeColor="text1"/>
        </w:rPr>
        <w:t>hakkında</w:t>
      </w:r>
      <w:r w:rsidRPr="004B0471">
        <w:rPr>
          <w:rFonts w:eastAsia="Calibri"/>
          <w:color w:val="000000" w:themeColor="text1"/>
        </w:rPr>
        <w:t xml:space="preserve"> gerekli bilgileri içeren web sayfamıza </w:t>
      </w:r>
      <w:hyperlink r:id="rId12" w:history="1">
        <w:r w:rsidRPr="004B0471">
          <w:rPr>
            <w:rStyle w:val="Kpr"/>
            <w:rFonts w:eastAsia="Calibri"/>
          </w:rPr>
          <w:t>https://dosap.metu.edu.tr/</w:t>
        </w:r>
      </w:hyperlink>
      <w:r w:rsidRPr="004B0471">
        <w:rPr>
          <w:rFonts w:eastAsia="Calibri"/>
          <w:color w:val="000000" w:themeColor="text1"/>
        </w:rPr>
        <w:t xml:space="preserve"> adresinden ulaşılabilmektedir.</w:t>
      </w:r>
    </w:p>
    <w:p w14:paraId="2DCDBECF" w14:textId="29551443" w:rsidR="00906262" w:rsidRPr="007718E8" w:rsidRDefault="007718E8" w:rsidP="00A47782">
      <w:pPr>
        <w:spacing w:after="120"/>
        <w:jc w:val="both"/>
        <w:rPr>
          <w:rFonts w:eastAsia="Calibri"/>
        </w:rPr>
      </w:pPr>
      <w:r w:rsidRPr="00FB5D61">
        <w:t xml:space="preserve">ODTÜ Araştırmalar Koordinatörlüğü, bir yandan araştırmacıların ar-ge projeleri yazmasına ve yürütmesine destek verirken, diğer yandan kurumun performansını artıracak yatay eylemleri (ör. HR Logo, TCEP) belirleyip yürüten bir birimdir. Ayrıca ODTÜ’nün farklı birimleriyle </w:t>
      </w:r>
      <w:r w:rsidR="00DF4E33" w:rsidRPr="00FB5D61">
        <w:t>iş birliği</w:t>
      </w:r>
      <w:r w:rsidRPr="00FB5D61">
        <w:t xml:space="preserve"> yaparak kuruma kurumsal düzeyde kazanımlar sağlayan projeler geliştirmeye de önem vermektedir. Bu çerçevede ve DOSAP yaklaşımıyla uyumlu olarak, Üniversitemizin birçok bölümünden öğretim üyelerinin katkısı ve Araştırmalar Koordinatörlüğü’nün koordinasyonuyla 2022’de HORIZON-MSCA-COFUND çağrısına sunulan </w:t>
      </w:r>
      <w:r w:rsidR="00EC35C4">
        <w:t xml:space="preserve">Yeşil ve Mavi Dönüşüm temalı </w:t>
      </w:r>
      <w:r w:rsidRPr="00FB5D61">
        <w:t>ENRICH-TOGETHER projesi aynı yıl desteklenmeye hak kazanmış, 16 Ekim 2023’te başlamış ve PDO Sosyal ekibinin desteğiyle çalışmalarını yoğun biçimde sürdürmektedir.</w:t>
      </w:r>
      <w:r w:rsidRPr="00FB5D61">
        <w:rPr>
          <w:rFonts w:eastAsia="Calibri"/>
        </w:rPr>
        <w:t xml:space="preserve"> </w:t>
      </w:r>
      <w:r w:rsidRPr="00FB5D61">
        <w:t>2024 yıl sonu itibarıyla ilk çağrıya yapılan yoğun değerlendirmeler sonucunda 37 aday arasından 6 doktora sonrası araştırmacının üniversitemizde istihdam edilmesine karar verilmiş ve sözleşme süreçleri tamamlanmıştır.</w:t>
      </w:r>
      <w:r w:rsidRPr="00FB5D61">
        <w:rPr>
          <w:rFonts w:eastAsia="Calibri"/>
        </w:rPr>
        <w:t xml:space="preserve"> </w:t>
      </w:r>
      <w:r w:rsidR="0059737B" w:rsidRPr="00FB5D61">
        <w:rPr>
          <w:rFonts w:eastAsia="Calibri"/>
        </w:rPr>
        <w:t>2025 yıl sonu itibariyle ise</w:t>
      </w:r>
      <w:r w:rsidR="00D15F81" w:rsidRPr="00FB5D61">
        <w:rPr>
          <w:rFonts w:eastAsia="Calibri"/>
        </w:rPr>
        <w:t>, proje</w:t>
      </w:r>
      <w:r w:rsidR="0059737B" w:rsidRPr="00FB5D61">
        <w:rPr>
          <w:rFonts w:eastAsia="Calibri"/>
        </w:rPr>
        <w:t xml:space="preserve">nin 1 </w:t>
      </w:r>
      <w:r w:rsidR="00A47782" w:rsidRPr="00FB5D61">
        <w:rPr>
          <w:rFonts w:eastAsia="Calibri"/>
        </w:rPr>
        <w:t>Temmuz</w:t>
      </w:r>
      <w:r w:rsidR="00A47782">
        <w:rPr>
          <w:rFonts w:eastAsia="Calibri"/>
        </w:rPr>
        <w:t>-</w:t>
      </w:r>
      <w:r w:rsidR="00EC35C4">
        <w:rPr>
          <w:rFonts w:eastAsia="Calibri"/>
        </w:rPr>
        <w:t xml:space="preserve"> </w:t>
      </w:r>
      <w:r w:rsidR="0059737B" w:rsidRPr="00FB5D61">
        <w:rPr>
          <w:rFonts w:eastAsia="Calibri"/>
        </w:rPr>
        <w:t xml:space="preserve">5 Eylül 2025 tarihleri arasında açılan </w:t>
      </w:r>
      <w:r w:rsidR="00D15F81" w:rsidRPr="00FB5D61">
        <w:rPr>
          <w:rFonts w:eastAsia="Calibri"/>
        </w:rPr>
        <w:t>ikinci doktora sonrası araştırmacı çağrısı</w:t>
      </w:r>
      <w:r w:rsidR="0059737B" w:rsidRPr="00FB5D61">
        <w:rPr>
          <w:rFonts w:eastAsia="Calibri"/>
        </w:rPr>
        <w:t>na 41 başvuru alınmış, 31 başvuru ilk idari değerlendirme aşamasını geçmiş, yoğun bir uluslararası hakem değerlendirme sürecinden sonra 11 aday mülakat aşamasına davet edilmiştir</w:t>
      </w:r>
      <w:r w:rsidR="00295129">
        <w:rPr>
          <w:rFonts w:eastAsia="Calibri"/>
        </w:rPr>
        <w:t xml:space="preserve"> ve bu mülakatlar 2026 yılında gerçekleştirilecektir</w:t>
      </w:r>
      <w:r w:rsidR="0059737B" w:rsidRPr="00FB5D61">
        <w:rPr>
          <w:rFonts w:eastAsia="Calibri"/>
        </w:rPr>
        <w:t>.</w:t>
      </w:r>
      <w:r w:rsidR="00EC35C4">
        <w:rPr>
          <w:rFonts w:eastAsia="Calibri"/>
        </w:rPr>
        <w:t xml:space="preserve"> </w:t>
      </w:r>
      <w:r w:rsidR="00906262">
        <w:t xml:space="preserve">İlk dönem araştırmacıların üniversiteye uyumunu desteklemek amacıyla 11 Kasım 2025 tarihinde ENRICH-TOGETHER Başlangıç Etkinliği düzenlenmiştir. Etkinlikte araştırmacılar projelerini tanıtmış, ağ oluşturma fırsatı bulmuş ve </w:t>
      </w:r>
      <w:r w:rsidR="008D1B30" w:rsidRPr="004B0471">
        <w:rPr>
          <w:rFonts w:eastAsia="Calibri"/>
        </w:rPr>
        <w:t>“AB’nin Araştırma Fon İmkanları”</w:t>
      </w:r>
      <w:r w:rsidR="008D1B30">
        <w:rPr>
          <w:rFonts w:eastAsia="Calibri"/>
        </w:rPr>
        <w:t xml:space="preserve"> </w:t>
      </w:r>
      <w:r w:rsidR="00906262">
        <w:t xml:space="preserve">eğitimi almıştır. Böylece hem </w:t>
      </w:r>
      <w:r w:rsidR="00877CAF">
        <w:t>ikinci dönem</w:t>
      </w:r>
      <w:r w:rsidR="00906262">
        <w:t xml:space="preserve"> araştırmacıların istihdam süreçleri sürerken hem de </w:t>
      </w:r>
      <w:r w:rsidR="00877CAF">
        <w:t xml:space="preserve">birinci dönem araştırmacıların </w:t>
      </w:r>
      <w:r w:rsidR="00906262">
        <w:t>üniversiteye, Türkiye’ye ve AB’ye entegrasyonlarına destek sağlanmaya devam edilmektedir.</w:t>
      </w:r>
    </w:p>
    <w:p w14:paraId="50DF50B3" w14:textId="15AAE2C4" w:rsidR="007906E6" w:rsidRPr="004B0471" w:rsidRDefault="002C5D17" w:rsidP="004B0471">
      <w:pPr>
        <w:spacing w:after="120"/>
        <w:jc w:val="both"/>
        <w:rPr>
          <w:rFonts w:eastAsia="Calibri"/>
          <w:color w:val="000000" w:themeColor="text1"/>
        </w:rPr>
      </w:pPr>
      <w:r w:rsidRPr="004B0471">
        <w:rPr>
          <w:rFonts w:eastAsiaTheme="minorHAnsi"/>
          <w:b/>
        </w:rPr>
        <w:t>Ödüller:</w:t>
      </w:r>
      <w:r w:rsidR="00F34391" w:rsidRPr="004B0471">
        <w:rPr>
          <w:rFonts w:eastAsiaTheme="minorHAnsi"/>
        </w:rPr>
        <w:t xml:space="preserve"> </w:t>
      </w:r>
      <w:r w:rsidR="007906E6" w:rsidRPr="004B0471">
        <w:rPr>
          <w:rFonts w:eastAsiaTheme="minorHAnsi"/>
        </w:rPr>
        <w:t xml:space="preserve">2025 yılında </w:t>
      </w:r>
      <w:r w:rsidR="007906E6" w:rsidRPr="004B0471">
        <w:rPr>
          <w:rFonts w:eastAsiaTheme="minorHAnsi"/>
          <w:bCs/>
        </w:rPr>
        <w:t xml:space="preserve">TÜBİTAK’ın </w:t>
      </w:r>
      <w:r w:rsidR="007906E6" w:rsidRPr="004B0471">
        <w:rPr>
          <w:rFonts w:eastAsiaTheme="minorHAnsi"/>
          <w:i/>
          <w:iCs/>
        </w:rPr>
        <w:t>“</w:t>
      </w:r>
      <w:r w:rsidR="007906E6" w:rsidRPr="004B0471">
        <w:rPr>
          <w:rFonts w:eastAsiaTheme="minorHAnsi"/>
          <w:iCs/>
        </w:rPr>
        <w:t>TÜBİTAK Bilim, Özel, Hizmet ve Teşvik Ödülleri”</w:t>
      </w:r>
      <w:r w:rsidR="007906E6" w:rsidRPr="004B0471">
        <w:rPr>
          <w:rFonts w:eastAsiaTheme="minorHAnsi"/>
        </w:rPr>
        <w:t xml:space="preserve"> kapsamında Üniversitemiz tarafından </w:t>
      </w:r>
      <w:r w:rsidR="007906E6" w:rsidRPr="004B0471">
        <w:rPr>
          <w:rFonts w:eastAsiaTheme="minorHAnsi"/>
          <w:bCs/>
        </w:rPr>
        <w:t>Teşvik Ödülüne 4 kurumsal aday</w:t>
      </w:r>
      <w:r w:rsidR="00CB5D07" w:rsidRPr="004B0471">
        <w:rPr>
          <w:rFonts w:eastAsiaTheme="minorHAnsi"/>
        </w:rPr>
        <w:t xml:space="preserve"> gösterilmiş olup</w:t>
      </w:r>
      <w:r w:rsidR="007906E6" w:rsidRPr="004B0471">
        <w:rPr>
          <w:rFonts w:eastAsiaTheme="minorHAnsi"/>
        </w:rPr>
        <w:t xml:space="preserve"> </w:t>
      </w:r>
      <w:r w:rsidR="0095657D">
        <w:rPr>
          <w:rFonts w:eastAsiaTheme="minorHAnsi"/>
        </w:rPr>
        <w:t>“</w:t>
      </w:r>
      <w:r w:rsidR="0095657D">
        <w:rPr>
          <w:rFonts w:eastAsiaTheme="minorHAnsi"/>
          <w:iCs/>
        </w:rPr>
        <w:t>F</w:t>
      </w:r>
      <w:r w:rsidR="007906E6" w:rsidRPr="004B0471">
        <w:rPr>
          <w:rFonts w:eastAsiaTheme="minorHAnsi"/>
          <w:iCs/>
        </w:rPr>
        <w:t xml:space="preserve">onksiyonel </w:t>
      </w:r>
      <w:r w:rsidR="0095657D" w:rsidRPr="004B0471">
        <w:rPr>
          <w:rFonts w:eastAsiaTheme="minorHAnsi"/>
          <w:iCs/>
        </w:rPr>
        <w:t>Malzemelerin Tek Adımda, Yüksek Verimle ve Sürdürülebilir Yöntemlerle Sentezlenmesini Mümkün Kılan Klik-Tipi Tepkimelerin Geliştirilmesi</w:t>
      </w:r>
      <w:r w:rsidR="0095657D">
        <w:rPr>
          <w:rFonts w:eastAsiaTheme="minorHAnsi"/>
          <w:iCs/>
        </w:rPr>
        <w:t>”</w:t>
      </w:r>
      <w:r w:rsidR="0095657D">
        <w:rPr>
          <w:rFonts w:eastAsiaTheme="minorHAnsi"/>
        </w:rPr>
        <w:t xml:space="preserve"> </w:t>
      </w:r>
      <w:r w:rsidR="007906E6" w:rsidRPr="004B0471">
        <w:rPr>
          <w:rFonts w:eastAsiaTheme="minorHAnsi"/>
        </w:rPr>
        <w:t xml:space="preserve">üzerine </w:t>
      </w:r>
      <w:r w:rsidR="007906E6" w:rsidRPr="004B0471">
        <w:rPr>
          <w:rFonts w:eastAsiaTheme="minorHAnsi"/>
        </w:rPr>
        <w:lastRenderedPageBreak/>
        <w:t xml:space="preserve">gerçekleştirdiği üstün nitelikli çalışmaları nedeniyle </w:t>
      </w:r>
      <w:r w:rsidR="0095657D">
        <w:rPr>
          <w:rFonts w:eastAsiaTheme="minorHAnsi"/>
        </w:rPr>
        <w:t xml:space="preserve">Kimya Bölümü öğretim üyesi </w:t>
      </w:r>
      <w:r w:rsidR="007906E6" w:rsidRPr="004B0471">
        <w:rPr>
          <w:rFonts w:eastAsiaTheme="minorHAnsi"/>
          <w:bCs/>
        </w:rPr>
        <w:t>Doç. Dr. Çağatay Dengiz</w:t>
      </w:r>
      <w:r w:rsidR="0095657D">
        <w:rPr>
          <w:rFonts w:eastAsiaTheme="minorHAnsi"/>
          <w:bCs/>
        </w:rPr>
        <w:t>,</w:t>
      </w:r>
      <w:r w:rsidR="007906E6" w:rsidRPr="004B0471">
        <w:rPr>
          <w:rFonts w:eastAsiaTheme="minorHAnsi"/>
        </w:rPr>
        <w:t xml:space="preserve"> bu ödülü almaya hak kazanmıştır. </w:t>
      </w:r>
    </w:p>
    <w:p w14:paraId="2227C629" w14:textId="62F15D63" w:rsidR="007906E6" w:rsidRPr="004B0471" w:rsidRDefault="007906E6" w:rsidP="004B0471">
      <w:pPr>
        <w:pStyle w:val="NormalWeb"/>
        <w:spacing w:before="0" w:beforeAutospacing="0" w:after="120" w:afterAutospacing="0"/>
        <w:jc w:val="both"/>
        <w:rPr>
          <w:rFonts w:eastAsiaTheme="minorHAnsi"/>
          <w:lang w:val="tr-TR"/>
        </w:rPr>
      </w:pPr>
      <w:r w:rsidRPr="004B0471">
        <w:rPr>
          <w:rFonts w:eastAsiaTheme="minorHAnsi"/>
          <w:lang w:val="tr-TR"/>
        </w:rPr>
        <w:t xml:space="preserve">Türkiye Bilimler Akademisi </w:t>
      </w:r>
      <w:r w:rsidRPr="004B0471">
        <w:rPr>
          <w:rFonts w:eastAsiaTheme="minorHAnsi"/>
          <w:bCs/>
          <w:lang w:val="tr-TR"/>
        </w:rPr>
        <w:t>Üstün Başarılı Genç Bilim İnsanı Ödülleri (TÜBA-GEBİP)</w:t>
      </w:r>
      <w:r w:rsidRPr="004B0471">
        <w:rPr>
          <w:rFonts w:eastAsiaTheme="minorHAnsi"/>
          <w:lang w:val="tr-TR"/>
        </w:rPr>
        <w:t xml:space="preserve"> kapsamında 2025 yılında Üniversitemizden aşağıdaki akademisyenler ödüle layık görülmüştür:</w:t>
      </w:r>
    </w:p>
    <w:p w14:paraId="6AE9D248" w14:textId="760334DA" w:rsidR="007906E6" w:rsidRPr="00597E0A" w:rsidRDefault="007906E6" w:rsidP="00597E0A">
      <w:pPr>
        <w:pStyle w:val="NormalWeb"/>
        <w:numPr>
          <w:ilvl w:val="0"/>
          <w:numId w:val="15"/>
        </w:numPr>
        <w:spacing w:before="0" w:beforeAutospacing="0"/>
        <w:jc w:val="both"/>
        <w:rPr>
          <w:rFonts w:eastAsiaTheme="minorHAnsi"/>
          <w:lang w:val="tr-TR"/>
        </w:rPr>
      </w:pPr>
      <w:r w:rsidRPr="004B0471">
        <w:rPr>
          <w:rFonts w:eastAsiaTheme="minorHAnsi"/>
          <w:bCs/>
          <w:lang w:val="tr-TR"/>
        </w:rPr>
        <w:t xml:space="preserve">Doç. Dr. Nihal Terzi </w:t>
      </w:r>
      <w:r w:rsidR="00A47782" w:rsidRPr="004B0471">
        <w:rPr>
          <w:rFonts w:eastAsiaTheme="minorHAnsi"/>
          <w:bCs/>
          <w:lang w:val="tr-TR"/>
        </w:rPr>
        <w:t>Çizmecioğlu</w:t>
      </w:r>
      <w:r w:rsidR="00A47782" w:rsidRPr="004B0471">
        <w:rPr>
          <w:rFonts w:eastAsiaTheme="minorHAnsi"/>
          <w:lang w:val="tr-TR"/>
        </w:rPr>
        <w:t>-</w:t>
      </w:r>
      <w:r w:rsidR="00597E0A">
        <w:rPr>
          <w:rFonts w:eastAsiaTheme="minorHAnsi"/>
          <w:lang w:val="tr-TR"/>
        </w:rPr>
        <w:t>Biyolojik Bilimler Bölümü</w:t>
      </w:r>
      <w:r w:rsidR="00F24B87">
        <w:rPr>
          <w:rFonts w:eastAsiaTheme="minorHAnsi"/>
          <w:lang w:val="tr-TR"/>
        </w:rPr>
        <w:t>-</w:t>
      </w:r>
      <w:r w:rsidR="00A47782" w:rsidRPr="00597E0A">
        <w:rPr>
          <w:rFonts w:eastAsiaTheme="minorHAnsi"/>
          <w:lang w:val="tr-TR"/>
        </w:rPr>
        <w:t>Yaşam</w:t>
      </w:r>
      <w:r w:rsidR="00C46BD2" w:rsidRPr="00597E0A">
        <w:rPr>
          <w:rFonts w:eastAsiaTheme="minorHAnsi"/>
          <w:lang w:val="tr-TR"/>
        </w:rPr>
        <w:t xml:space="preserve"> Bilimleri Alanı</w:t>
      </w:r>
      <w:r w:rsidR="0095657D" w:rsidRPr="00597E0A">
        <w:rPr>
          <w:rFonts w:eastAsiaTheme="minorHAnsi"/>
          <w:lang w:val="tr-TR"/>
        </w:rPr>
        <w:t xml:space="preserve"> </w:t>
      </w:r>
    </w:p>
    <w:p w14:paraId="2735079F" w14:textId="145909AB" w:rsidR="007906E6" w:rsidRPr="004B0471" w:rsidRDefault="007906E6" w:rsidP="005B5114">
      <w:pPr>
        <w:pStyle w:val="NormalWeb"/>
        <w:numPr>
          <w:ilvl w:val="0"/>
          <w:numId w:val="15"/>
        </w:numPr>
        <w:jc w:val="both"/>
        <w:rPr>
          <w:rFonts w:eastAsiaTheme="minorHAnsi"/>
          <w:lang w:val="tr-TR"/>
        </w:rPr>
      </w:pPr>
      <w:r w:rsidRPr="004B0471">
        <w:rPr>
          <w:rFonts w:eastAsiaTheme="minorHAnsi"/>
          <w:bCs/>
          <w:lang w:val="tr-TR"/>
        </w:rPr>
        <w:t xml:space="preserve">Doç. Dr. Sezen </w:t>
      </w:r>
      <w:r w:rsidR="009444A6" w:rsidRPr="004B0471">
        <w:rPr>
          <w:rFonts w:eastAsiaTheme="minorHAnsi"/>
          <w:bCs/>
          <w:lang w:val="tr-TR"/>
        </w:rPr>
        <w:t>Kışlal</w:t>
      </w:r>
      <w:r w:rsidR="009444A6" w:rsidRPr="004B0471">
        <w:rPr>
          <w:rFonts w:eastAsiaTheme="minorHAnsi"/>
          <w:lang w:val="tr-TR"/>
        </w:rPr>
        <w:t>-</w:t>
      </w:r>
      <w:r w:rsidR="00597E0A">
        <w:rPr>
          <w:rFonts w:eastAsiaTheme="minorHAnsi"/>
          <w:lang w:val="tr-TR"/>
        </w:rPr>
        <w:t xml:space="preserve">Psikoloji Bölümü- </w:t>
      </w:r>
      <w:r w:rsidR="00C46BD2" w:rsidRPr="004B0471">
        <w:rPr>
          <w:rFonts w:eastAsiaTheme="minorHAnsi"/>
          <w:lang w:val="tr-TR"/>
        </w:rPr>
        <w:t>Sosyal Bilimler Alanı</w:t>
      </w:r>
    </w:p>
    <w:p w14:paraId="106E0392" w14:textId="136808D8" w:rsidR="007906E6" w:rsidRPr="00597E0A" w:rsidRDefault="007906E6" w:rsidP="00597E0A">
      <w:pPr>
        <w:pStyle w:val="NormalWeb"/>
        <w:numPr>
          <w:ilvl w:val="0"/>
          <w:numId w:val="15"/>
        </w:numPr>
        <w:spacing w:after="120" w:afterAutospacing="0"/>
        <w:jc w:val="both"/>
        <w:rPr>
          <w:rFonts w:eastAsiaTheme="minorHAnsi"/>
          <w:lang w:val="tr-TR"/>
        </w:rPr>
      </w:pPr>
      <w:r w:rsidRPr="004B0471">
        <w:rPr>
          <w:rFonts w:eastAsiaTheme="minorHAnsi"/>
          <w:bCs/>
          <w:lang w:val="tr-TR"/>
        </w:rPr>
        <w:t xml:space="preserve">Dr. Öğr. Üyesi Dilay Zeynep Karadöller </w:t>
      </w:r>
      <w:r w:rsidR="00D62536" w:rsidRPr="004B0471">
        <w:rPr>
          <w:rFonts w:eastAsiaTheme="minorHAnsi"/>
          <w:bCs/>
          <w:lang w:val="tr-TR"/>
        </w:rPr>
        <w:t>Astarlıoğlu</w:t>
      </w:r>
      <w:r w:rsidR="00D62536" w:rsidRPr="004B0471">
        <w:rPr>
          <w:rFonts w:eastAsiaTheme="minorHAnsi"/>
          <w:lang w:val="tr-TR"/>
        </w:rPr>
        <w:t>-</w:t>
      </w:r>
      <w:r w:rsidR="00597E0A">
        <w:rPr>
          <w:rFonts w:eastAsiaTheme="minorHAnsi"/>
          <w:lang w:val="tr-TR"/>
        </w:rPr>
        <w:t>Psikoloji Bölümü-</w:t>
      </w:r>
      <w:r w:rsidRPr="00597E0A">
        <w:rPr>
          <w:rFonts w:eastAsiaTheme="minorHAnsi"/>
          <w:lang w:val="tr-TR"/>
        </w:rPr>
        <w:t>Sosyal Bilimle</w:t>
      </w:r>
      <w:r w:rsidR="009E4C2B" w:rsidRPr="00597E0A">
        <w:rPr>
          <w:rFonts w:eastAsiaTheme="minorHAnsi"/>
          <w:lang w:val="tr-TR"/>
        </w:rPr>
        <w:t>r Alanı</w:t>
      </w:r>
    </w:p>
    <w:p w14:paraId="67489819" w14:textId="64D0CF0B" w:rsidR="007A61B8" w:rsidRDefault="007906E6" w:rsidP="007A61B8">
      <w:pPr>
        <w:pStyle w:val="NormalWeb"/>
        <w:spacing w:before="0" w:beforeAutospacing="0" w:after="120" w:afterAutospacing="0"/>
        <w:jc w:val="both"/>
        <w:rPr>
          <w:rFonts w:eastAsiaTheme="minorHAnsi"/>
          <w:lang w:val="tr-TR"/>
        </w:rPr>
      </w:pPr>
      <w:r w:rsidRPr="004B0471">
        <w:rPr>
          <w:rFonts w:eastAsiaTheme="minorHAnsi"/>
          <w:lang w:val="tr-TR"/>
        </w:rPr>
        <w:t xml:space="preserve">2025 yılı </w:t>
      </w:r>
      <w:r w:rsidRPr="004B0471">
        <w:rPr>
          <w:rFonts w:eastAsiaTheme="minorHAnsi"/>
          <w:bCs/>
          <w:lang w:val="tr-TR"/>
        </w:rPr>
        <w:t>UNESCO-L’Oréal Ulusal Genç Bilim Kadınlarına Destek Bursları</w:t>
      </w:r>
      <w:r w:rsidRPr="004B0471">
        <w:rPr>
          <w:rFonts w:eastAsiaTheme="minorHAnsi"/>
          <w:lang w:val="tr-TR"/>
        </w:rPr>
        <w:t xml:space="preserve"> kapsamında Üniversitemizden 8 başvuru yapılmış olup, Fiziki Bilimler alanında </w:t>
      </w:r>
      <w:r w:rsidR="00C462F8">
        <w:rPr>
          <w:rFonts w:eastAsiaTheme="minorHAnsi"/>
          <w:lang w:val="tr-TR"/>
        </w:rPr>
        <w:t>Elektrik-</w:t>
      </w:r>
      <w:r w:rsidR="0095657D">
        <w:rPr>
          <w:rFonts w:eastAsiaTheme="minorHAnsi"/>
          <w:lang w:val="tr-TR"/>
        </w:rPr>
        <w:t xml:space="preserve">Elektronik Mühendisliği Bölümü öğretim üyesi </w:t>
      </w:r>
      <w:r w:rsidRPr="004B0471">
        <w:rPr>
          <w:rFonts w:eastAsiaTheme="minorHAnsi"/>
          <w:bCs/>
          <w:lang w:val="tr-TR"/>
        </w:rPr>
        <w:t>Doç. Dr. Sevinç Figen Öktem Seven</w:t>
      </w:r>
      <w:r w:rsidR="00B31AF2" w:rsidRPr="004B0471">
        <w:rPr>
          <w:rFonts w:eastAsiaTheme="minorHAnsi"/>
          <w:lang w:val="tr-TR"/>
        </w:rPr>
        <w:t xml:space="preserve"> bu ödülü</w:t>
      </w:r>
      <w:r w:rsidRPr="004B0471">
        <w:rPr>
          <w:rFonts w:eastAsiaTheme="minorHAnsi"/>
          <w:lang w:val="tr-TR"/>
        </w:rPr>
        <w:t xml:space="preserve"> almaya hak kazanmıştır.</w:t>
      </w:r>
    </w:p>
    <w:p w14:paraId="03E3CC52" w14:textId="311C2303" w:rsidR="007A61B8" w:rsidRDefault="007906E6" w:rsidP="007A61B8">
      <w:pPr>
        <w:pStyle w:val="NormalWeb"/>
        <w:spacing w:before="0" w:beforeAutospacing="0" w:after="120" w:afterAutospacing="0"/>
        <w:jc w:val="both"/>
        <w:rPr>
          <w:rFonts w:eastAsiaTheme="minorHAnsi"/>
          <w:lang w:val="tr-TR"/>
        </w:rPr>
      </w:pPr>
      <w:r w:rsidRPr="004B0471">
        <w:rPr>
          <w:rFonts w:eastAsiaTheme="minorHAnsi"/>
          <w:lang w:val="tr-TR"/>
        </w:rPr>
        <w:t>Yükseköğretim Kurulu (</w:t>
      </w:r>
      <w:r w:rsidRPr="004B0471">
        <w:rPr>
          <w:rFonts w:eastAsiaTheme="minorHAnsi"/>
          <w:bCs/>
          <w:lang w:val="tr-TR"/>
        </w:rPr>
        <w:t>YÖK</w:t>
      </w:r>
      <w:r w:rsidRPr="004B0471">
        <w:rPr>
          <w:rFonts w:eastAsiaTheme="minorHAnsi"/>
          <w:lang w:val="tr-TR"/>
        </w:rPr>
        <w:t xml:space="preserve">) </w:t>
      </w:r>
      <w:r w:rsidRPr="004B0471">
        <w:rPr>
          <w:rFonts w:eastAsiaTheme="minorHAnsi"/>
          <w:bCs/>
          <w:lang w:val="tr-TR"/>
        </w:rPr>
        <w:t>Üstün Başarı Ödülü</w:t>
      </w:r>
      <w:r w:rsidRPr="004B0471">
        <w:rPr>
          <w:rFonts w:eastAsiaTheme="minorHAnsi"/>
          <w:lang w:val="tr-TR"/>
        </w:rPr>
        <w:t xml:space="preserve">’ne aday gösterilen </w:t>
      </w:r>
      <w:bookmarkStart w:id="5" w:name="_Hlk219658827"/>
      <w:r w:rsidR="0095657D">
        <w:rPr>
          <w:rFonts w:eastAsiaTheme="minorHAnsi"/>
          <w:lang w:val="tr-TR"/>
        </w:rPr>
        <w:t>Elektrik</w:t>
      </w:r>
      <w:r w:rsidR="00C462F8">
        <w:rPr>
          <w:rFonts w:eastAsiaTheme="minorHAnsi"/>
          <w:lang w:val="tr-TR"/>
        </w:rPr>
        <w:t>-</w:t>
      </w:r>
      <w:r w:rsidR="0095657D">
        <w:rPr>
          <w:rFonts w:eastAsiaTheme="minorHAnsi"/>
          <w:lang w:val="tr-TR"/>
        </w:rPr>
        <w:t xml:space="preserve">Elektronik Mühendisliği Bölümü öğretim üyesi </w:t>
      </w:r>
      <w:bookmarkEnd w:id="5"/>
      <w:r w:rsidRPr="004B0471">
        <w:rPr>
          <w:rFonts w:eastAsiaTheme="minorHAnsi"/>
          <w:bCs/>
          <w:lang w:val="tr-TR"/>
        </w:rPr>
        <w:t>Doç. Dr. M. Mert Ankaralı</w:t>
      </w:r>
      <w:r w:rsidRPr="004B0471">
        <w:rPr>
          <w:rFonts w:eastAsiaTheme="minorHAnsi"/>
          <w:lang w:val="tr-TR"/>
        </w:rPr>
        <w:t xml:space="preserve">, </w:t>
      </w:r>
      <w:r w:rsidR="00A47782" w:rsidRPr="004B0471">
        <w:rPr>
          <w:rFonts w:eastAsiaTheme="minorHAnsi"/>
          <w:i/>
          <w:iCs/>
          <w:lang w:val="tr-TR"/>
        </w:rPr>
        <w:t>Üniversite-</w:t>
      </w:r>
      <w:r w:rsidRPr="004B0471">
        <w:rPr>
          <w:rFonts w:eastAsiaTheme="minorHAnsi"/>
          <w:i/>
          <w:iCs/>
          <w:lang w:val="tr-TR"/>
        </w:rPr>
        <w:t>İş Dünyası İş Birliği</w:t>
      </w:r>
      <w:r w:rsidRPr="004B0471">
        <w:rPr>
          <w:rFonts w:eastAsiaTheme="minorHAnsi"/>
          <w:lang w:val="tr-TR"/>
        </w:rPr>
        <w:t xml:space="preserve"> kategorisinde ödül almaya layık görülmüştür.</w:t>
      </w:r>
    </w:p>
    <w:p w14:paraId="10F76DF5" w14:textId="18D6DB61" w:rsidR="007906E6" w:rsidRPr="004B0471" w:rsidRDefault="007906E6" w:rsidP="007A61B8">
      <w:pPr>
        <w:pStyle w:val="NormalWeb"/>
        <w:spacing w:before="0" w:beforeAutospacing="0" w:after="120" w:afterAutospacing="0"/>
        <w:jc w:val="both"/>
        <w:rPr>
          <w:rFonts w:eastAsiaTheme="minorHAnsi"/>
          <w:lang w:val="tr-TR"/>
        </w:rPr>
      </w:pPr>
      <w:r w:rsidRPr="004B0471">
        <w:rPr>
          <w:rFonts w:eastAsiaTheme="minorHAnsi"/>
          <w:bCs/>
          <w:lang w:val="tr-TR"/>
        </w:rPr>
        <w:t>Elginkan Vakfı 20. Türk Kültürü Araştırma ve Teknoloji Ödülleri</w:t>
      </w:r>
      <w:r w:rsidRPr="004B0471">
        <w:rPr>
          <w:rFonts w:eastAsiaTheme="minorHAnsi"/>
          <w:lang w:val="tr-TR"/>
        </w:rPr>
        <w:t xml:space="preserve"> kapsamında Üniversitemizden 3 kurumsal aday arasından:</w:t>
      </w:r>
    </w:p>
    <w:p w14:paraId="7F42080C" w14:textId="77FB94A4" w:rsidR="007906E6" w:rsidRPr="004B0471" w:rsidRDefault="0095657D" w:rsidP="007A61B8">
      <w:pPr>
        <w:pStyle w:val="NormalWeb"/>
        <w:numPr>
          <w:ilvl w:val="0"/>
          <w:numId w:val="16"/>
        </w:numPr>
        <w:spacing w:before="0" w:beforeAutospacing="0"/>
        <w:jc w:val="both"/>
        <w:rPr>
          <w:rFonts w:eastAsiaTheme="minorHAnsi"/>
          <w:lang w:val="tr-TR"/>
        </w:rPr>
      </w:pPr>
      <w:r>
        <w:rPr>
          <w:rFonts w:eastAsiaTheme="minorHAnsi"/>
          <w:lang w:val="tr-TR"/>
        </w:rPr>
        <w:t>Elektrik</w:t>
      </w:r>
      <w:r w:rsidR="00C462F8">
        <w:rPr>
          <w:rFonts w:eastAsiaTheme="minorHAnsi"/>
          <w:lang w:val="tr-TR"/>
        </w:rPr>
        <w:t>-</w:t>
      </w:r>
      <w:r>
        <w:rPr>
          <w:rFonts w:eastAsiaTheme="minorHAnsi"/>
          <w:lang w:val="tr-TR"/>
        </w:rPr>
        <w:t xml:space="preserve">Elektronik Mühendisliği Bölümü öğretim üyesi </w:t>
      </w:r>
      <w:r w:rsidR="007906E6" w:rsidRPr="004B0471">
        <w:rPr>
          <w:rFonts w:eastAsiaTheme="minorHAnsi"/>
          <w:bCs/>
          <w:lang w:val="tr-TR"/>
        </w:rPr>
        <w:t>Prof. Dr. Barış Bayram</w:t>
      </w:r>
      <w:r w:rsidR="007906E6" w:rsidRPr="004B0471">
        <w:rPr>
          <w:rFonts w:eastAsiaTheme="minorHAnsi"/>
          <w:lang w:val="tr-TR"/>
        </w:rPr>
        <w:t xml:space="preserve"> </w:t>
      </w:r>
      <w:r w:rsidR="007906E6" w:rsidRPr="004B0471">
        <w:rPr>
          <w:rFonts w:eastAsiaTheme="minorHAnsi"/>
          <w:i/>
          <w:iCs/>
          <w:lang w:val="tr-TR"/>
        </w:rPr>
        <w:t>Teknoloji Ödülü</w:t>
      </w:r>
      <w:r w:rsidR="007906E6" w:rsidRPr="004B0471">
        <w:rPr>
          <w:rFonts w:eastAsiaTheme="minorHAnsi"/>
          <w:lang w:val="tr-TR"/>
        </w:rPr>
        <w:t>’ne,</w:t>
      </w:r>
    </w:p>
    <w:p w14:paraId="233BAF78" w14:textId="58198660" w:rsidR="007906E6" w:rsidRPr="004B0471" w:rsidRDefault="0095657D" w:rsidP="007A61B8">
      <w:pPr>
        <w:pStyle w:val="NormalWeb"/>
        <w:numPr>
          <w:ilvl w:val="0"/>
          <w:numId w:val="16"/>
        </w:numPr>
        <w:spacing w:after="120" w:afterAutospacing="0"/>
        <w:jc w:val="both"/>
        <w:rPr>
          <w:rFonts w:eastAsiaTheme="minorHAnsi"/>
          <w:lang w:val="tr-TR"/>
        </w:rPr>
      </w:pPr>
      <w:r>
        <w:rPr>
          <w:rFonts w:eastAsiaTheme="minorHAnsi"/>
          <w:bCs/>
          <w:lang w:val="tr-TR"/>
        </w:rPr>
        <w:t xml:space="preserve">Tarih Bölümü </w:t>
      </w:r>
      <w:r>
        <w:rPr>
          <w:rFonts w:eastAsiaTheme="minorHAnsi"/>
          <w:lang w:val="tr-TR"/>
        </w:rPr>
        <w:t xml:space="preserve">öğretim üyesi </w:t>
      </w:r>
      <w:r w:rsidR="007906E6" w:rsidRPr="004B0471">
        <w:rPr>
          <w:rFonts w:eastAsiaTheme="minorHAnsi"/>
          <w:bCs/>
          <w:lang w:val="tr-TR"/>
        </w:rPr>
        <w:t>Prof. Dr. Ömer Turan</w:t>
      </w:r>
      <w:r w:rsidR="007906E6" w:rsidRPr="004B0471">
        <w:rPr>
          <w:rFonts w:eastAsiaTheme="minorHAnsi"/>
          <w:lang w:val="tr-TR"/>
        </w:rPr>
        <w:t xml:space="preserve"> </w:t>
      </w:r>
      <w:r w:rsidR="007906E6" w:rsidRPr="004B0471">
        <w:rPr>
          <w:rFonts w:eastAsiaTheme="minorHAnsi"/>
          <w:i/>
          <w:iCs/>
          <w:lang w:val="tr-TR"/>
        </w:rPr>
        <w:t>Türk Kültürü Araştırma Ödülü</w:t>
      </w:r>
      <w:r w:rsidR="007906E6" w:rsidRPr="004B0471">
        <w:rPr>
          <w:rFonts w:eastAsiaTheme="minorHAnsi"/>
          <w:lang w:val="tr-TR"/>
        </w:rPr>
        <w:t>’ne layık görülmüştür.</w:t>
      </w:r>
    </w:p>
    <w:p w14:paraId="4AF5BCC6" w14:textId="5C6EBB1B" w:rsidR="007A61B8" w:rsidRDefault="0095657D" w:rsidP="007A61B8">
      <w:pPr>
        <w:pStyle w:val="HTMLncedenBiimlendirilmi"/>
        <w:spacing w:after="120"/>
        <w:jc w:val="both"/>
        <w:rPr>
          <w:rFonts w:ascii="Times New Roman" w:eastAsiaTheme="minorHAnsi" w:hAnsi="Times New Roman" w:cs="Times New Roman"/>
          <w:bCs/>
          <w:sz w:val="24"/>
          <w:szCs w:val="24"/>
          <w:lang w:eastAsia="en-US"/>
        </w:rPr>
      </w:pPr>
      <w:r w:rsidRPr="0095657D">
        <w:rPr>
          <w:rFonts w:ascii="Times New Roman" w:eastAsiaTheme="minorHAnsi" w:hAnsi="Times New Roman" w:cs="Times New Roman"/>
          <w:sz w:val="24"/>
          <w:szCs w:val="24"/>
          <w:lang w:eastAsia="en-US"/>
        </w:rPr>
        <w:t>Elektrik</w:t>
      </w:r>
      <w:r w:rsidR="00C462F8">
        <w:rPr>
          <w:rFonts w:ascii="Times New Roman" w:eastAsiaTheme="minorHAnsi" w:hAnsi="Times New Roman" w:cs="Times New Roman"/>
          <w:sz w:val="24"/>
          <w:szCs w:val="24"/>
          <w:lang w:eastAsia="en-US"/>
        </w:rPr>
        <w:t>-</w:t>
      </w:r>
      <w:r w:rsidRPr="0095657D">
        <w:rPr>
          <w:rFonts w:ascii="Times New Roman" w:eastAsiaTheme="minorHAnsi" w:hAnsi="Times New Roman" w:cs="Times New Roman"/>
          <w:sz w:val="24"/>
          <w:szCs w:val="24"/>
          <w:lang w:eastAsia="en-US"/>
        </w:rPr>
        <w:t xml:space="preserve">Elektronik Mühendisliği Bölümü öğretim üyesi </w:t>
      </w:r>
      <w:r w:rsidR="00366001" w:rsidRPr="004B0471">
        <w:rPr>
          <w:rFonts w:ascii="Times New Roman" w:eastAsiaTheme="minorHAnsi" w:hAnsi="Times New Roman" w:cs="Times New Roman"/>
          <w:sz w:val="24"/>
          <w:szCs w:val="24"/>
          <w:lang w:eastAsia="en-US"/>
        </w:rPr>
        <w:t xml:space="preserve">Prof. Dr. Barış Bayram aynı zamanda İlim Yayma Vakfı </w:t>
      </w:r>
      <w:r w:rsidR="00384572" w:rsidRPr="004B0471">
        <w:rPr>
          <w:rFonts w:ascii="Times New Roman" w:eastAsiaTheme="minorHAnsi" w:hAnsi="Times New Roman" w:cs="Times New Roman"/>
          <w:bCs/>
          <w:sz w:val="24"/>
          <w:szCs w:val="24"/>
          <w:lang w:eastAsia="en-US"/>
        </w:rPr>
        <w:t>Mühendislik, Doğa ve Sağlık Bilimleri Ödülü’nü almaya hak kazanmıştır.</w:t>
      </w:r>
    </w:p>
    <w:p w14:paraId="46EEA83D" w14:textId="065E842C" w:rsidR="007A61B8" w:rsidRDefault="00F33425" w:rsidP="007A61B8">
      <w:pPr>
        <w:pStyle w:val="HTMLncedenBiimlendirilmi"/>
        <w:spacing w:after="120"/>
        <w:jc w:val="both"/>
        <w:rPr>
          <w:rFonts w:ascii="Times New Roman" w:eastAsiaTheme="minorHAnsi" w:hAnsi="Times New Roman" w:cs="Times New Roman"/>
          <w:bCs/>
          <w:sz w:val="24"/>
          <w:szCs w:val="24"/>
          <w:lang w:eastAsia="en-US"/>
        </w:rPr>
      </w:pPr>
      <w:r w:rsidRPr="004B0471">
        <w:rPr>
          <w:rFonts w:ascii="Times New Roman" w:eastAsiaTheme="minorHAnsi" w:hAnsi="Times New Roman" w:cs="Times New Roman"/>
          <w:sz w:val="24"/>
          <w:szCs w:val="24"/>
          <w:lang w:eastAsia="en-US"/>
        </w:rPr>
        <w:t>2025 yılı IEEE (</w:t>
      </w:r>
      <w:r w:rsidRPr="00AC03F7">
        <w:rPr>
          <w:rFonts w:ascii="Times New Roman" w:eastAsiaTheme="minorHAnsi" w:hAnsi="Times New Roman" w:cs="Times New Roman"/>
          <w:i/>
          <w:iCs/>
          <w:sz w:val="24"/>
          <w:szCs w:val="24"/>
          <w:lang w:eastAsia="en-US"/>
        </w:rPr>
        <w:t>Institute of Electrical and Electronics Engineers</w:t>
      </w:r>
      <w:r w:rsidRPr="004B0471">
        <w:rPr>
          <w:rFonts w:ascii="Times New Roman" w:eastAsiaTheme="minorHAnsi" w:hAnsi="Times New Roman" w:cs="Times New Roman"/>
          <w:sz w:val="24"/>
          <w:szCs w:val="24"/>
          <w:lang w:eastAsia="en-US"/>
        </w:rPr>
        <w:t xml:space="preserve">) Türkiye Bilim Ödülleri kapsamında </w:t>
      </w:r>
      <w:r w:rsidR="009444A6">
        <w:rPr>
          <w:rFonts w:ascii="Times New Roman" w:eastAsiaTheme="minorHAnsi" w:hAnsi="Times New Roman" w:cs="Times New Roman"/>
          <w:sz w:val="24"/>
          <w:szCs w:val="24"/>
          <w:lang w:eastAsia="en-US"/>
        </w:rPr>
        <w:t xml:space="preserve">Havacılık ve Uzay </w:t>
      </w:r>
      <w:r w:rsidR="00457249">
        <w:rPr>
          <w:rFonts w:ascii="Times New Roman" w:eastAsiaTheme="minorHAnsi" w:hAnsi="Times New Roman" w:cs="Times New Roman"/>
          <w:sz w:val="24"/>
          <w:szCs w:val="24"/>
          <w:lang w:eastAsia="en-US"/>
        </w:rPr>
        <w:t xml:space="preserve">Mühendisliği </w:t>
      </w:r>
      <w:r w:rsidR="009444A6">
        <w:rPr>
          <w:rFonts w:ascii="Times New Roman" w:eastAsiaTheme="minorHAnsi" w:hAnsi="Times New Roman" w:cs="Times New Roman"/>
          <w:sz w:val="24"/>
          <w:szCs w:val="24"/>
          <w:lang w:eastAsia="en-US"/>
        </w:rPr>
        <w:t xml:space="preserve">Bölümü </w:t>
      </w:r>
      <w:r w:rsidR="009444A6" w:rsidRPr="0095657D">
        <w:rPr>
          <w:rFonts w:ascii="Times New Roman" w:eastAsiaTheme="minorHAnsi" w:hAnsi="Times New Roman" w:cs="Times New Roman"/>
          <w:sz w:val="24"/>
          <w:szCs w:val="24"/>
          <w:lang w:eastAsia="en-US"/>
        </w:rPr>
        <w:t xml:space="preserve">öğretim üyesi </w:t>
      </w:r>
      <w:r w:rsidRPr="004B0471">
        <w:rPr>
          <w:rFonts w:ascii="Times New Roman" w:eastAsiaTheme="minorHAnsi" w:hAnsi="Times New Roman" w:cs="Times New Roman"/>
          <w:sz w:val="24"/>
          <w:szCs w:val="24"/>
          <w:lang w:eastAsia="en-US"/>
        </w:rPr>
        <w:t xml:space="preserve">Doç. Dr. Halil Ersin Söken Araştırma Teşvik Ödülü’ne layık görülmüştür. </w:t>
      </w:r>
    </w:p>
    <w:p w14:paraId="3A66F743" w14:textId="4B6EC8A8" w:rsidR="007A61B8" w:rsidRDefault="00E65CF9" w:rsidP="007A61B8">
      <w:pPr>
        <w:pStyle w:val="HTMLncedenBiimlendirilmi"/>
        <w:spacing w:after="120"/>
        <w:jc w:val="both"/>
        <w:rPr>
          <w:rFonts w:ascii="Times New Roman" w:eastAsiaTheme="minorHAnsi" w:hAnsi="Times New Roman" w:cs="Times New Roman"/>
          <w:iCs/>
          <w:sz w:val="24"/>
          <w:szCs w:val="24"/>
          <w:lang w:eastAsia="en-US"/>
        </w:rPr>
      </w:pPr>
      <w:r w:rsidRPr="004B0471">
        <w:rPr>
          <w:rFonts w:ascii="Times New Roman" w:eastAsiaTheme="minorHAnsi" w:hAnsi="Times New Roman" w:cs="Times New Roman"/>
          <w:iCs/>
          <w:sz w:val="24"/>
          <w:szCs w:val="24"/>
          <w:lang w:eastAsia="en-US"/>
        </w:rPr>
        <w:t>Yaşar Üniversitesi ile Selçuk Yaşar Spor ve Eğitim Vakfı iş birliği</w:t>
      </w:r>
      <w:r w:rsidR="00FD000B" w:rsidRPr="004B0471">
        <w:rPr>
          <w:rFonts w:ascii="Times New Roman" w:eastAsiaTheme="minorHAnsi" w:hAnsi="Times New Roman" w:cs="Times New Roman"/>
          <w:iCs/>
          <w:sz w:val="24"/>
          <w:szCs w:val="24"/>
          <w:lang w:eastAsia="en-US"/>
        </w:rPr>
        <w:t xml:space="preserve">yle verilen Selçuk Yaşar Ödülü’ne ise </w:t>
      </w:r>
      <w:r w:rsidR="00045456" w:rsidRPr="004B0471">
        <w:rPr>
          <w:rFonts w:ascii="Times New Roman" w:eastAsiaTheme="minorHAnsi" w:hAnsi="Times New Roman" w:cs="Times New Roman"/>
          <w:iCs/>
          <w:sz w:val="24"/>
          <w:szCs w:val="24"/>
          <w:lang w:eastAsia="en-US"/>
        </w:rPr>
        <w:t xml:space="preserve">geleceğin iletişim teknolojileri alanında çalışmalar </w:t>
      </w:r>
      <w:r w:rsidR="0095657D">
        <w:rPr>
          <w:rFonts w:ascii="Times New Roman" w:eastAsiaTheme="minorHAnsi" w:hAnsi="Times New Roman" w:cs="Times New Roman"/>
          <w:iCs/>
          <w:sz w:val="24"/>
          <w:szCs w:val="24"/>
          <w:lang w:eastAsia="en-US"/>
        </w:rPr>
        <w:t xml:space="preserve">yapan </w:t>
      </w:r>
      <w:r w:rsidR="0095657D" w:rsidRPr="0095657D">
        <w:rPr>
          <w:rFonts w:ascii="Times New Roman" w:eastAsiaTheme="minorHAnsi" w:hAnsi="Times New Roman" w:cs="Times New Roman"/>
          <w:iCs/>
          <w:sz w:val="24"/>
          <w:szCs w:val="24"/>
          <w:lang w:eastAsia="en-US"/>
        </w:rPr>
        <w:t>Elektrik</w:t>
      </w:r>
      <w:r w:rsidR="00C462F8">
        <w:rPr>
          <w:rFonts w:ascii="Times New Roman" w:eastAsiaTheme="minorHAnsi" w:hAnsi="Times New Roman" w:cs="Times New Roman"/>
          <w:iCs/>
          <w:sz w:val="24"/>
          <w:szCs w:val="24"/>
          <w:lang w:eastAsia="en-US"/>
        </w:rPr>
        <w:t>-</w:t>
      </w:r>
      <w:r w:rsidR="0095657D" w:rsidRPr="0095657D">
        <w:rPr>
          <w:rFonts w:ascii="Times New Roman" w:eastAsiaTheme="minorHAnsi" w:hAnsi="Times New Roman" w:cs="Times New Roman"/>
          <w:iCs/>
          <w:sz w:val="24"/>
          <w:szCs w:val="24"/>
          <w:lang w:eastAsia="en-US"/>
        </w:rPr>
        <w:t xml:space="preserve">Elektronik Mühendisliği Bölümü öğretim üyesi </w:t>
      </w:r>
      <w:r w:rsidR="0095657D" w:rsidRPr="004B0471">
        <w:rPr>
          <w:rFonts w:ascii="Times New Roman" w:eastAsiaTheme="minorHAnsi" w:hAnsi="Times New Roman" w:cs="Times New Roman"/>
          <w:iCs/>
          <w:sz w:val="24"/>
          <w:szCs w:val="24"/>
          <w:lang w:eastAsia="en-US"/>
        </w:rPr>
        <w:t>Prof.</w:t>
      </w:r>
      <w:r w:rsidR="00C931EF" w:rsidRPr="004B0471">
        <w:rPr>
          <w:rFonts w:ascii="Times New Roman" w:eastAsiaTheme="minorHAnsi" w:hAnsi="Times New Roman" w:cs="Times New Roman"/>
          <w:iCs/>
          <w:sz w:val="24"/>
          <w:szCs w:val="24"/>
          <w:lang w:eastAsia="en-US"/>
        </w:rPr>
        <w:t xml:space="preserve"> Dr. Elif Uysal layık görülmüştür.</w:t>
      </w:r>
    </w:p>
    <w:p w14:paraId="465ED406" w14:textId="77777777" w:rsidR="007A61B8" w:rsidRDefault="006F4CB8" w:rsidP="007A61B8">
      <w:pPr>
        <w:pStyle w:val="HTMLncedenBiimlendirilmi"/>
        <w:spacing w:after="120"/>
        <w:jc w:val="both"/>
        <w:rPr>
          <w:rFonts w:ascii="Times New Roman" w:hAnsi="Times New Roman" w:cs="Times New Roman"/>
          <w:sz w:val="24"/>
          <w:szCs w:val="24"/>
        </w:rPr>
      </w:pPr>
      <w:r w:rsidRPr="004B0471">
        <w:rPr>
          <w:rFonts w:ascii="Times New Roman" w:hAnsi="Times New Roman" w:cs="Times New Roman"/>
          <w:b/>
          <w:sz w:val="24"/>
          <w:szCs w:val="24"/>
        </w:rPr>
        <w:t>Teknokent Görevlendirme:</w:t>
      </w:r>
      <w:r w:rsidRPr="004B0471">
        <w:rPr>
          <w:rFonts w:ascii="Times New Roman" w:hAnsi="Times New Roman" w:cs="Times New Roman"/>
          <w:sz w:val="24"/>
          <w:szCs w:val="24"/>
        </w:rPr>
        <w:t xml:space="preserve"> </w:t>
      </w:r>
      <w:r w:rsidR="00247E9B" w:rsidRPr="004B0471">
        <w:rPr>
          <w:rFonts w:ascii="Times New Roman" w:hAnsi="Times New Roman" w:cs="Times New Roman"/>
          <w:sz w:val="24"/>
          <w:szCs w:val="24"/>
        </w:rPr>
        <w:t>Teknoloji Geliştirme Bölgeleri ve ARGE Tasarım Merkezlerindeki Görevlendirmelerde 202</w:t>
      </w:r>
      <w:r w:rsidR="0007336A" w:rsidRPr="004B0471">
        <w:rPr>
          <w:rFonts w:ascii="Times New Roman" w:hAnsi="Times New Roman" w:cs="Times New Roman"/>
          <w:sz w:val="24"/>
          <w:szCs w:val="24"/>
        </w:rPr>
        <w:t>5</w:t>
      </w:r>
      <w:r w:rsidR="00247E9B" w:rsidRPr="004B0471">
        <w:rPr>
          <w:rFonts w:ascii="Times New Roman" w:hAnsi="Times New Roman" w:cs="Times New Roman"/>
          <w:sz w:val="24"/>
          <w:szCs w:val="24"/>
        </w:rPr>
        <w:t xml:space="preserve"> yılına ait 1</w:t>
      </w:r>
      <w:r w:rsidR="0007336A" w:rsidRPr="004B0471">
        <w:rPr>
          <w:rFonts w:ascii="Times New Roman" w:hAnsi="Times New Roman" w:cs="Times New Roman"/>
          <w:sz w:val="24"/>
          <w:szCs w:val="24"/>
        </w:rPr>
        <w:t>76</w:t>
      </w:r>
      <w:r w:rsidR="00247E9B" w:rsidRPr="004B0471">
        <w:rPr>
          <w:rFonts w:ascii="Times New Roman" w:hAnsi="Times New Roman" w:cs="Times New Roman"/>
          <w:sz w:val="24"/>
          <w:szCs w:val="24"/>
        </w:rPr>
        <w:t xml:space="preserve"> adet görevlendirme yapılmıştır. Bu </w:t>
      </w:r>
      <w:r w:rsidR="00247E9B" w:rsidRPr="007A61B8">
        <w:rPr>
          <w:rFonts w:ascii="Times New Roman" w:hAnsi="Times New Roman" w:cs="Times New Roman"/>
          <w:sz w:val="24"/>
          <w:szCs w:val="24"/>
        </w:rPr>
        <w:t xml:space="preserve">görevlendirmelerden </w:t>
      </w:r>
      <w:r w:rsidR="00ED1EB8" w:rsidRPr="007A61B8">
        <w:rPr>
          <w:rFonts w:ascii="Times New Roman" w:hAnsi="Times New Roman" w:cs="Times New Roman"/>
          <w:sz w:val="24"/>
          <w:szCs w:val="24"/>
        </w:rPr>
        <w:t>6</w:t>
      </w:r>
      <w:r w:rsidR="00247E9B" w:rsidRPr="007A61B8">
        <w:rPr>
          <w:rFonts w:ascii="Times New Roman" w:hAnsi="Times New Roman" w:cs="Times New Roman"/>
          <w:sz w:val="24"/>
          <w:szCs w:val="24"/>
        </w:rPr>
        <w:t xml:space="preserve"> tanesi ODTÜ dışı Teknoloji Geliştirme Bölgesi veya Tasarım Merkezine aittir.</w:t>
      </w:r>
      <w:r w:rsidR="00037C3E" w:rsidRPr="007A61B8">
        <w:rPr>
          <w:rFonts w:ascii="Times New Roman" w:hAnsi="Times New Roman" w:cs="Times New Roman"/>
          <w:sz w:val="24"/>
          <w:szCs w:val="24"/>
        </w:rPr>
        <w:t xml:space="preserve"> </w:t>
      </w:r>
    </w:p>
    <w:p w14:paraId="2D5858C2" w14:textId="7776EAE2" w:rsidR="000D7336" w:rsidRPr="007A61B8" w:rsidRDefault="00EF5418" w:rsidP="007A61B8">
      <w:pPr>
        <w:pStyle w:val="HTMLncedenBiimlendirilmi"/>
        <w:spacing w:after="120"/>
        <w:jc w:val="both"/>
        <w:rPr>
          <w:rFonts w:ascii="Times New Roman" w:hAnsi="Times New Roman" w:cs="Times New Roman"/>
          <w:sz w:val="24"/>
          <w:szCs w:val="24"/>
        </w:rPr>
      </w:pPr>
      <w:r w:rsidRPr="007A61B8">
        <w:rPr>
          <w:rFonts w:ascii="Times New Roman" w:hAnsi="Times New Roman" w:cs="Times New Roman"/>
          <w:b/>
          <w:bCs/>
          <w:sz w:val="24"/>
          <w:szCs w:val="24"/>
        </w:rPr>
        <w:t>Altyapı Çalışmaları</w:t>
      </w:r>
      <w:r w:rsidR="007A61B8">
        <w:rPr>
          <w:rFonts w:ascii="Times New Roman" w:hAnsi="Times New Roman" w:cs="Times New Roman"/>
          <w:b/>
          <w:bCs/>
          <w:sz w:val="24"/>
          <w:szCs w:val="24"/>
        </w:rPr>
        <w:t xml:space="preserve">: </w:t>
      </w:r>
      <w:r w:rsidRPr="007A61B8">
        <w:rPr>
          <w:rFonts w:ascii="Times New Roman" w:hAnsi="Times New Roman" w:cs="Times New Roman"/>
          <w:sz w:val="24"/>
          <w:szCs w:val="24"/>
        </w:rPr>
        <w:t>Araştırmalar Koordinatörlüğü, Proje Destek Ofisi, Araştırma Parkı web sitelerine yönelik çalışmalar yürütül</w:t>
      </w:r>
      <w:r w:rsidR="00AA308B">
        <w:rPr>
          <w:rFonts w:ascii="Times New Roman" w:hAnsi="Times New Roman" w:cs="Times New Roman"/>
          <w:sz w:val="24"/>
          <w:szCs w:val="24"/>
        </w:rPr>
        <w:t>müştür</w:t>
      </w:r>
      <w:r w:rsidRPr="007A61B8">
        <w:rPr>
          <w:rFonts w:ascii="Times New Roman" w:hAnsi="Times New Roman" w:cs="Times New Roman"/>
          <w:sz w:val="24"/>
          <w:szCs w:val="24"/>
        </w:rPr>
        <w:t>. Çalışmalar kapsamında; Proje Destek Ofisi sitesinin Drupal altyapı sürümü yükseltil</w:t>
      </w:r>
      <w:r w:rsidR="00AA308B">
        <w:rPr>
          <w:rFonts w:ascii="Times New Roman" w:hAnsi="Times New Roman" w:cs="Times New Roman"/>
          <w:sz w:val="24"/>
          <w:szCs w:val="24"/>
        </w:rPr>
        <w:t>miş</w:t>
      </w:r>
      <w:r w:rsidRPr="007A61B8">
        <w:rPr>
          <w:rFonts w:ascii="Times New Roman" w:hAnsi="Times New Roman" w:cs="Times New Roman"/>
          <w:sz w:val="24"/>
          <w:szCs w:val="24"/>
        </w:rPr>
        <w:t xml:space="preserve"> ve yeniden tasarlan</w:t>
      </w:r>
      <w:r w:rsidR="00AA308B">
        <w:rPr>
          <w:rFonts w:ascii="Times New Roman" w:hAnsi="Times New Roman" w:cs="Times New Roman"/>
          <w:sz w:val="24"/>
          <w:szCs w:val="24"/>
        </w:rPr>
        <w:t>mıştır</w:t>
      </w:r>
      <w:r w:rsidRPr="007A61B8">
        <w:rPr>
          <w:rFonts w:ascii="Times New Roman" w:hAnsi="Times New Roman" w:cs="Times New Roman"/>
          <w:sz w:val="24"/>
          <w:szCs w:val="24"/>
        </w:rPr>
        <w:t>; Araştırmalar Koordinatörlüğü sitesi yeniden tasarlan</w:t>
      </w:r>
      <w:r w:rsidR="00AA308B">
        <w:rPr>
          <w:rFonts w:ascii="Times New Roman" w:hAnsi="Times New Roman" w:cs="Times New Roman"/>
          <w:sz w:val="24"/>
          <w:szCs w:val="24"/>
        </w:rPr>
        <w:t>mıştır</w:t>
      </w:r>
      <w:r w:rsidRPr="007A61B8">
        <w:rPr>
          <w:rFonts w:ascii="Times New Roman" w:hAnsi="Times New Roman" w:cs="Times New Roman"/>
          <w:sz w:val="24"/>
          <w:szCs w:val="24"/>
        </w:rPr>
        <w:t xml:space="preserve"> ve Araştırma Parkı’na yönelik yeni bir web sitesi oluşturul</w:t>
      </w:r>
      <w:r w:rsidR="00AA308B">
        <w:rPr>
          <w:rFonts w:ascii="Times New Roman" w:hAnsi="Times New Roman" w:cs="Times New Roman"/>
          <w:sz w:val="24"/>
          <w:szCs w:val="24"/>
        </w:rPr>
        <w:t>muştur.</w:t>
      </w:r>
      <w:r w:rsidRPr="004B0471">
        <w:t xml:space="preserve"> </w:t>
      </w:r>
    </w:p>
    <w:sectPr w:rsidR="000D7336" w:rsidRPr="007A61B8" w:rsidSect="0081702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9D7B" w14:textId="77777777" w:rsidR="00AD1D96" w:rsidRDefault="00AD1D96" w:rsidP="00BB3758">
      <w:r>
        <w:separator/>
      </w:r>
    </w:p>
  </w:endnote>
  <w:endnote w:type="continuationSeparator" w:id="0">
    <w:p w14:paraId="0DEDDB1D" w14:textId="77777777" w:rsidR="00AD1D96" w:rsidRDefault="00AD1D96" w:rsidP="00BB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81E6" w14:textId="77777777" w:rsidR="005019C5" w:rsidRDefault="005019C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506654"/>
      <w:docPartObj>
        <w:docPartGallery w:val="Page Numbers (Bottom of Page)"/>
        <w:docPartUnique/>
      </w:docPartObj>
    </w:sdtPr>
    <w:sdtEndPr>
      <w:rPr>
        <w:noProof/>
      </w:rPr>
    </w:sdtEndPr>
    <w:sdtContent>
      <w:p w14:paraId="5C9670F7" w14:textId="4A1C0364" w:rsidR="00E41107" w:rsidRPr="00E61DA5" w:rsidRDefault="00E41107">
        <w:pPr>
          <w:pStyle w:val="AltBilgi"/>
          <w:jc w:val="right"/>
        </w:pPr>
        <w:r w:rsidRPr="00E61DA5">
          <w:fldChar w:fldCharType="begin"/>
        </w:r>
        <w:r w:rsidRPr="00E61DA5">
          <w:instrText xml:space="preserve"> PAGE   \* MERGEFORMAT </w:instrText>
        </w:r>
        <w:r w:rsidRPr="00E61DA5">
          <w:fldChar w:fldCharType="separate"/>
        </w:r>
        <w:r w:rsidR="00CB5D07">
          <w:rPr>
            <w:noProof/>
          </w:rPr>
          <w:t>7</w:t>
        </w:r>
        <w:r w:rsidRPr="00E61DA5">
          <w:rPr>
            <w:noProof/>
          </w:rPr>
          <w:fldChar w:fldCharType="end"/>
        </w:r>
      </w:p>
    </w:sdtContent>
  </w:sdt>
  <w:p w14:paraId="34D8CA37" w14:textId="77777777" w:rsidR="00E41107" w:rsidRPr="00E61DA5" w:rsidRDefault="00E4110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17CC" w14:textId="77777777" w:rsidR="005019C5" w:rsidRDefault="005019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AB9A" w14:textId="77777777" w:rsidR="00AD1D96" w:rsidRDefault="00AD1D96" w:rsidP="00BB3758">
      <w:r>
        <w:separator/>
      </w:r>
    </w:p>
  </w:footnote>
  <w:footnote w:type="continuationSeparator" w:id="0">
    <w:p w14:paraId="1E5A3C24" w14:textId="77777777" w:rsidR="00AD1D96" w:rsidRDefault="00AD1D96" w:rsidP="00BB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0F33" w14:textId="77777777" w:rsidR="005019C5" w:rsidRDefault="005019C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4088" w14:textId="77777777" w:rsidR="0081702D" w:rsidRDefault="005019C5" w:rsidP="0081702D">
    <w:pPr>
      <w:spacing w:after="120"/>
      <w:jc w:val="right"/>
      <w:outlineLvl w:val="2"/>
      <w:rPr>
        <w:b/>
      </w:rPr>
    </w:pPr>
    <w:r>
      <w:rPr>
        <w:b/>
      </w:rPr>
      <w:t>ODTÜ Araştırmalar Koordinatörlüğü</w:t>
    </w:r>
  </w:p>
  <w:p w14:paraId="626D1C98" w14:textId="49295EAF" w:rsidR="005019C5" w:rsidRDefault="005019C5" w:rsidP="0081702D">
    <w:pPr>
      <w:spacing w:after="120"/>
      <w:jc w:val="right"/>
      <w:outlineLvl w:val="2"/>
      <w:rPr>
        <w:b/>
      </w:rPr>
    </w:pPr>
    <w:r>
      <w:rPr>
        <w:b/>
      </w:rPr>
      <w:t>2025 yılı Faaliyet Raporu</w:t>
    </w:r>
  </w:p>
  <w:p w14:paraId="3D0FC566" w14:textId="77777777" w:rsidR="0081702D" w:rsidRPr="005019C5" w:rsidRDefault="0081702D" w:rsidP="0081702D">
    <w:pPr>
      <w:spacing w:after="120"/>
      <w:jc w:val="right"/>
      <w:outlineLvl w:val="2"/>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63F4" w14:textId="77777777" w:rsidR="005019C5" w:rsidRDefault="005019C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23E"/>
    <w:multiLevelType w:val="hybridMultilevel"/>
    <w:tmpl w:val="58285AE8"/>
    <w:lvl w:ilvl="0" w:tplc="04090001">
      <w:start w:val="1"/>
      <w:numFmt w:val="bullet"/>
      <w:lvlText w:val=""/>
      <w:lvlJc w:val="left"/>
      <w:pPr>
        <w:ind w:left="501" w:hanging="360"/>
      </w:pPr>
      <w:rPr>
        <w:rFonts w:ascii="Symbol" w:hAnsi="Symbol" w:hint="default"/>
      </w:rPr>
    </w:lvl>
    <w:lvl w:ilvl="1" w:tplc="04090003">
      <w:start w:val="1"/>
      <w:numFmt w:val="bullet"/>
      <w:lvlText w:val="o"/>
      <w:lvlJc w:val="left"/>
      <w:pPr>
        <w:ind w:left="927"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99C5393"/>
    <w:multiLevelType w:val="hybridMultilevel"/>
    <w:tmpl w:val="A9A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E5D56"/>
    <w:multiLevelType w:val="hybridMultilevel"/>
    <w:tmpl w:val="FBA6C9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F5AB0"/>
    <w:multiLevelType w:val="hybridMultilevel"/>
    <w:tmpl w:val="6874A6A6"/>
    <w:lvl w:ilvl="0" w:tplc="4ED4765E">
      <w:start w:val="1"/>
      <w:numFmt w:val="decimal"/>
      <w:lvlText w:val="%1."/>
      <w:lvlJc w:val="left"/>
      <w:pPr>
        <w:ind w:left="720" w:hanging="360"/>
      </w:pPr>
      <w:rPr>
        <w:rFonts w:hint="default"/>
        <w:color w:val="2222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859A0"/>
    <w:multiLevelType w:val="hybridMultilevel"/>
    <w:tmpl w:val="AD5066FE"/>
    <w:lvl w:ilvl="0" w:tplc="34F4D21A">
      <w:start w:val="2025"/>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9C2CB5"/>
    <w:multiLevelType w:val="multilevel"/>
    <w:tmpl w:val="CD54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57014"/>
    <w:multiLevelType w:val="hybridMultilevel"/>
    <w:tmpl w:val="247CF676"/>
    <w:lvl w:ilvl="0" w:tplc="965A6022">
      <w:start w:val="1"/>
      <w:numFmt w:val="bullet"/>
      <w:lvlText w:val="•"/>
      <w:lvlJc w:val="left"/>
      <w:pPr>
        <w:tabs>
          <w:tab w:val="num" w:pos="720"/>
        </w:tabs>
        <w:ind w:left="720" w:hanging="360"/>
      </w:pPr>
      <w:rPr>
        <w:rFonts w:ascii="Arial" w:hAnsi="Arial" w:hint="default"/>
      </w:rPr>
    </w:lvl>
    <w:lvl w:ilvl="1" w:tplc="719287AA">
      <w:numFmt w:val="bullet"/>
      <w:lvlText w:val="•"/>
      <w:lvlJc w:val="left"/>
      <w:pPr>
        <w:tabs>
          <w:tab w:val="num" w:pos="1440"/>
        </w:tabs>
        <w:ind w:left="1440" w:hanging="360"/>
      </w:pPr>
      <w:rPr>
        <w:rFonts w:ascii="Arial" w:hAnsi="Arial" w:hint="default"/>
      </w:rPr>
    </w:lvl>
    <w:lvl w:ilvl="2" w:tplc="05862D58" w:tentative="1">
      <w:start w:val="1"/>
      <w:numFmt w:val="bullet"/>
      <w:lvlText w:val="•"/>
      <w:lvlJc w:val="left"/>
      <w:pPr>
        <w:tabs>
          <w:tab w:val="num" w:pos="2160"/>
        </w:tabs>
        <w:ind w:left="2160" w:hanging="360"/>
      </w:pPr>
      <w:rPr>
        <w:rFonts w:ascii="Arial" w:hAnsi="Arial" w:hint="default"/>
      </w:rPr>
    </w:lvl>
    <w:lvl w:ilvl="3" w:tplc="D2AA7740" w:tentative="1">
      <w:start w:val="1"/>
      <w:numFmt w:val="bullet"/>
      <w:lvlText w:val="•"/>
      <w:lvlJc w:val="left"/>
      <w:pPr>
        <w:tabs>
          <w:tab w:val="num" w:pos="2880"/>
        </w:tabs>
        <w:ind w:left="2880" w:hanging="360"/>
      </w:pPr>
      <w:rPr>
        <w:rFonts w:ascii="Arial" w:hAnsi="Arial" w:hint="default"/>
      </w:rPr>
    </w:lvl>
    <w:lvl w:ilvl="4" w:tplc="653AF236" w:tentative="1">
      <w:start w:val="1"/>
      <w:numFmt w:val="bullet"/>
      <w:lvlText w:val="•"/>
      <w:lvlJc w:val="left"/>
      <w:pPr>
        <w:tabs>
          <w:tab w:val="num" w:pos="3600"/>
        </w:tabs>
        <w:ind w:left="3600" w:hanging="360"/>
      </w:pPr>
      <w:rPr>
        <w:rFonts w:ascii="Arial" w:hAnsi="Arial" w:hint="default"/>
      </w:rPr>
    </w:lvl>
    <w:lvl w:ilvl="5" w:tplc="80FA9F84" w:tentative="1">
      <w:start w:val="1"/>
      <w:numFmt w:val="bullet"/>
      <w:lvlText w:val="•"/>
      <w:lvlJc w:val="left"/>
      <w:pPr>
        <w:tabs>
          <w:tab w:val="num" w:pos="4320"/>
        </w:tabs>
        <w:ind w:left="4320" w:hanging="360"/>
      </w:pPr>
      <w:rPr>
        <w:rFonts w:ascii="Arial" w:hAnsi="Arial" w:hint="default"/>
      </w:rPr>
    </w:lvl>
    <w:lvl w:ilvl="6" w:tplc="1786F3E6" w:tentative="1">
      <w:start w:val="1"/>
      <w:numFmt w:val="bullet"/>
      <w:lvlText w:val="•"/>
      <w:lvlJc w:val="left"/>
      <w:pPr>
        <w:tabs>
          <w:tab w:val="num" w:pos="5040"/>
        </w:tabs>
        <w:ind w:left="5040" w:hanging="360"/>
      </w:pPr>
      <w:rPr>
        <w:rFonts w:ascii="Arial" w:hAnsi="Arial" w:hint="default"/>
      </w:rPr>
    </w:lvl>
    <w:lvl w:ilvl="7" w:tplc="6128BA1E" w:tentative="1">
      <w:start w:val="1"/>
      <w:numFmt w:val="bullet"/>
      <w:lvlText w:val="•"/>
      <w:lvlJc w:val="left"/>
      <w:pPr>
        <w:tabs>
          <w:tab w:val="num" w:pos="5760"/>
        </w:tabs>
        <w:ind w:left="5760" w:hanging="360"/>
      </w:pPr>
      <w:rPr>
        <w:rFonts w:ascii="Arial" w:hAnsi="Arial" w:hint="default"/>
      </w:rPr>
    </w:lvl>
    <w:lvl w:ilvl="8" w:tplc="928EB7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9E54F7"/>
    <w:multiLevelType w:val="hybridMultilevel"/>
    <w:tmpl w:val="90020D48"/>
    <w:lvl w:ilvl="0" w:tplc="9DAE9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D2BB2"/>
    <w:multiLevelType w:val="hybridMultilevel"/>
    <w:tmpl w:val="5888F0BE"/>
    <w:lvl w:ilvl="0" w:tplc="04090013">
      <w:start w:val="1"/>
      <w:numFmt w:val="upperRoman"/>
      <w:lvlText w:val="%1."/>
      <w:lvlJc w:val="right"/>
      <w:pPr>
        <w:ind w:left="360" w:hanging="360"/>
      </w:pPr>
      <w:rPr>
        <w:rFonts w:hint="default"/>
      </w:rPr>
    </w:lvl>
    <w:lvl w:ilvl="1" w:tplc="041F0003">
      <w:start w:val="1"/>
      <w:numFmt w:val="upperLetter"/>
      <w:lvlText w:val="%2."/>
      <w:lvlJc w:val="left"/>
      <w:pPr>
        <w:ind w:left="928" w:hanging="360"/>
      </w:pPr>
      <w:rPr>
        <w:rFonts w:hint="default"/>
        <w:b/>
      </w:rPr>
    </w:lvl>
    <w:lvl w:ilvl="2" w:tplc="041F0005">
      <w:start w:val="1"/>
      <w:numFmt w:val="decimal"/>
      <w:lvlText w:val="%3."/>
      <w:lvlJc w:val="left"/>
      <w:pPr>
        <w:ind w:left="786" w:hanging="360"/>
      </w:pPr>
      <w:rPr>
        <w:rFonts w:hint="default"/>
      </w:rPr>
    </w:lvl>
    <w:lvl w:ilvl="3" w:tplc="C6DA2776">
      <w:start w:val="1"/>
      <w:numFmt w:val="lowerLetter"/>
      <w:lvlText w:val="%4."/>
      <w:lvlJc w:val="left"/>
      <w:pPr>
        <w:ind w:left="3780" w:hanging="360"/>
      </w:pPr>
      <w:rPr>
        <w:rFonts w:hint="default"/>
      </w:rPr>
    </w:lvl>
    <w:lvl w:ilvl="4" w:tplc="041F0003" w:tentative="1">
      <w:start w:val="1"/>
      <w:numFmt w:val="lowerLetter"/>
      <w:lvlText w:val="%5."/>
      <w:lvlJc w:val="left"/>
      <w:pPr>
        <w:ind w:left="4500" w:hanging="360"/>
      </w:pPr>
    </w:lvl>
    <w:lvl w:ilvl="5" w:tplc="041F0005" w:tentative="1">
      <w:start w:val="1"/>
      <w:numFmt w:val="lowerRoman"/>
      <w:lvlText w:val="%6."/>
      <w:lvlJc w:val="right"/>
      <w:pPr>
        <w:ind w:left="5220" w:hanging="180"/>
      </w:pPr>
    </w:lvl>
    <w:lvl w:ilvl="6" w:tplc="041F0001" w:tentative="1">
      <w:start w:val="1"/>
      <w:numFmt w:val="decimal"/>
      <w:lvlText w:val="%7."/>
      <w:lvlJc w:val="left"/>
      <w:pPr>
        <w:ind w:left="5940" w:hanging="360"/>
      </w:pPr>
    </w:lvl>
    <w:lvl w:ilvl="7" w:tplc="041F0003" w:tentative="1">
      <w:start w:val="1"/>
      <w:numFmt w:val="lowerLetter"/>
      <w:lvlText w:val="%8."/>
      <w:lvlJc w:val="left"/>
      <w:pPr>
        <w:ind w:left="6660" w:hanging="360"/>
      </w:pPr>
    </w:lvl>
    <w:lvl w:ilvl="8" w:tplc="041F0005" w:tentative="1">
      <w:start w:val="1"/>
      <w:numFmt w:val="lowerRoman"/>
      <w:lvlText w:val="%9."/>
      <w:lvlJc w:val="right"/>
      <w:pPr>
        <w:ind w:left="7380" w:hanging="180"/>
      </w:pPr>
    </w:lvl>
  </w:abstractNum>
  <w:abstractNum w:abstractNumId="9" w15:restartNumberingAfterBreak="0">
    <w:nsid w:val="3E3403A8"/>
    <w:multiLevelType w:val="hybridMultilevel"/>
    <w:tmpl w:val="FEF0FA8A"/>
    <w:lvl w:ilvl="0" w:tplc="30741FD6">
      <w:start w:val="1"/>
      <w:numFmt w:val="decimal"/>
      <w:lvlText w:val="%1)"/>
      <w:lvlJc w:val="left"/>
      <w:pPr>
        <w:tabs>
          <w:tab w:val="num" w:pos="720"/>
        </w:tabs>
        <w:ind w:left="720" w:hanging="360"/>
      </w:pPr>
    </w:lvl>
    <w:lvl w:ilvl="1" w:tplc="B9C2F49A" w:tentative="1">
      <w:start w:val="1"/>
      <w:numFmt w:val="decimal"/>
      <w:lvlText w:val="%2)"/>
      <w:lvlJc w:val="left"/>
      <w:pPr>
        <w:tabs>
          <w:tab w:val="num" w:pos="1440"/>
        </w:tabs>
        <w:ind w:left="1440" w:hanging="360"/>
      </w:pPr>
    </w:lvl>
    <w:lvl w:ilvl="2" w:tplc="5DEEE77E">
      <w:start w:val="1"/>
      <w:numFmt w:val="decimal"/>
      <w:lvlText w:val="%3)"/>
      <w:lvlJc w:val="left"/>
      <w:pPr>
        <w:tabs>
          <w:tab w:val="num" w:pos="2160"/>
        </w:tabs>
        <w:ind w:left="2160" w:hanging="360"/>
      </w:pPr>
    </w:lvl>
    <w:lvl w:ilvl="3" w:tplc="5878611E" w:tentative="1">
      <w:start w:val="1"/>
      <w:numFmt w:val="decimal"/>
      <w:lvlText w:val="%4)"/>
      <w:lvlJc w:val="left"/>
      <w:pPr>
        <w:tabs>
          <w:tab w:val="num" w:pos="2880"/>
        </w:tabs>
        <w:ind w:left="2880" w:hanging="360"/>
      </w:pPr>
    </w:lvl>
    <w:lvl w:ilvl="4" w:tplc="3DB60132" w:tentative="1">
      <w:start w:val="1"/>
      <w:numFmt w:val="decimal"/>
      <w:lvlText w:val="%5)"/>
      <w:lvlJc w:val="left"/>
      <w:pPr>
        <w:tabs>
          <w:tab w:val="num" w:pos="3600"/>
        </w:tabs>
        <w:ind w:left="3600" w:hanging="360"/>
      </w:pPr>
    </w:lvl>
    <w:lvl w:ilvl="5" w:tplc="14F68852" w:tentative="1">
      <w:start w:val="1"/>
      <w:numFmt w:val="decimal"/>
      <w:lvlText w:val="%6)"/>
      <w:lvlJc w:val="left"/>
      <w:pPr>
        <w:tabs>
          <w:tab w:val="num" w:pos="4320"/>
        </w:tabs>
        <w:ind w:left="4320" w:hanging="360"/>
      </w:pPr>
    </w:lvl>
    <w:lvl w:ilvl="6" w:tplc="34143002" w:tentative="1">
      <w:start w:val="1"/>
      <w:numFmt w:val="decimal"/>
      <w:lvlText w:val="%7)"/>
      <w:lvlJc w:val="left"/>
      <w:pPr>
        <w:tabs>
          <w:tab w:val="num" w:pos="5040"/>
        </w:tabs>
        <w:ind w:left="5040" w:hanging="360"/>
      </w:pPr>
    </w:lvl>
    <w:lvl w:ilvl="7" w:tplc="49DC0712" w:tentative="1">
      <w:start w:val="1"/>
      <w:numFmt w:val="decimal"/>
      <w:lvlText w:val="%8)"/>
      <w:lvlJc w:val="left"/>
      <w:pPr>
        <w:tabs>
          <w:tab w:val="num" w:pos="5760"/>
        </w:tabs>
        <w:ind w:left="5760" w:hanging="360"/>
      </w:pPr>
    </w:lvl>
    <w:lvl w:ilvl="8" w:tplc="A44C9802" w:tentative="1">
      <w:start w:val="1"/>
      <w:numFmt w:val="decimal"/>
      <w:lvlText w:val="%9)"/>
      <w:lvlJc w:val="left"/>
      <w:pPr>
        <w:tabs>
          <w:tab w:val="num" w:pos="6480"/>
        </w:tabs>
        <w:ind w:left="6480" w:hanging="360"/>
      </w:pPr>
    </w:lvl>
  </w:abstractNum>
  <w:abstractNum w:abstractNumId="10" w15:restartNumberingAfterBreak="0">
    <w:nsid w:val="3E574BA3"/>
    <w:multiLevelType w:val="hybridMultilevel"/>
    <w:tmpl w:val="0616E4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4402379B"/>
    <w:multiLevelType w:val="hybridMultilevel"/>
    <w:tmpl w:val="5A968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97144"/>
    <w:multiLevelType w:val="multilevel"/>
    <w:tmpl w:val="FD58CA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15F00CB"/>
    <w:multiLevelType w:val="hybridMultilevel"/>
    <w:tmpl w:val="27E857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74"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4F42E0"/>
    <w:multiLevelType w:val="multilevel"/>
    <w:tmpl w:val="8384E1B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5" w15:restartNumberingAfterBreak="0">
    <w:nsid w:val="53A22894"/>
    <w:multiLevelType w:val="hybridMultilevel"/>
    <w:tmpl w:val="D1821FF6"/>
    <w:lvl w:ilvl="0" w:tplc="8A0C721E">
      <w:start w:val="1"/>
      <w:numFmt w:val="bullet"/>
      <w:lvlText w:val=""/>
      <w:lvlJc w:val="left"/>
      <w:pPr>
        <w:tabs>
          <w:tab w:val="num" w:pos="720"/>
        </w:tabs>
        <w:ind w:left="720" w:hanging="360"/>
      </w:pPr>
      <w:rPr>
        <w:rFonts w:ascii="Wingdings 2" w:hAnsi="Wingdings 2" w:hint="default"/>
      </w:rPr>
    </w:lvl>
    <w:lvl w:ilvl="1" w:tplc="430A659E">
      <w:numFmt w:val="bullet"/>
      <w:lvlText w:val="◦"/>
      <w:lvlJc w:val="left"/>
      <w:pPr>
        <w:tabs>
          <w:tab w:val="num" w:pos="1440"/>
        </w:tabs>
        <w:ind w:left="1440" w:hanging="360"/>
      </w:pPr>
      <w:rPr>
        <w:rFonts w:ascii="Verdana" w:hAnsi="Verdana" w:hint="default"/>
      </w:rPr>
    </w:lvl>
    <w:lvl w:ilvl="2" w:tplc="DF0EDB44" w:tentative="1">
      <w:start w:val="1"/>
      <w:numFmt w:val="bullet"/>
      <w:lvlText w:val=""/>
      <w:lvlJc w:val="left"/>
      <w:pPr>
        <w:tabs>
          <w:tab w:val="num" w:pos="2160"/>
        </w:tabs>
        <w:ind w:left="2160" w:hanging="360"/>
      </w:pPr>
      <w:rPr>
        <w:rFonts w:ascii="Wingdings 2" w:hAnsi="Wingdings 2" w:hint="default"/>
      </w:rPr>
    </w:lvl>
    <w:lvl w:ilvl="3" w:tplc="6768831E" w:tentative="1">
      <w:start w:val="1"/>
      <w:numFmt w:val="bullet"/>
      <w:lvlText w:val=""/>
      <w:lvlJc w:val="left"/>
      <w:pPr>
        <w:tabs>
          <w:tab w:val="num" w:pos="2880"/>
        </w:tabs>
        <w:ind w:left="2880" w:hanging="360"/>
      </w:pPr>
      <w:rPr>
        <w:rFonts w:ascii="Wingdings 2" w:hAnsi="Wingdings 2" w:hint="default"/>
      </w:rPr>
    </w:lvl>
    <w:lvl w:ilvl="4" w:tplc="94E6BB58" w:tentative="1">
      <w:start w:val="1"/>
      <w:numFmt w:val="bullet"/>
      <w:lvlText w:val=""/>
      <w:lvlJc w:val="left"/>
      <w:pPr>
        <w:tabs>
          <w:tab w:val="num" w:pos="3600"/>
        </w:tabs>
        <w:ind w:left="3600" w:hanging="360"/>
      </w:pPr>
      <w:rPr>
        <w:rFonts w:ascii="Wingdings 2" w:hAnsi="Wingdings 2" w:hint="default"/>
      </w:rPr>
    </w:lvl>
    <w:lvl w:ilvl="5" w:tplc="CD584448" w:tentative="1">
      <w:start w:val="1"/>
      <w:numFmt w:val="bullet"/>
      <w:lvlText w:val=""/>
      <w:lvlJc w:val="left"/>
      <w:pPr>
        <w:tabs>
          <w:tab w:val="num" w:pos="4320"/>
        </w:tabs>
        <w:ind w:left="4320" w:hanging="360"/>
      </w:pPr>
      <w:rPr>
        <w:rFonts w:ascii="Wingdings 2" w:hAnsi="Wingdings 2" w:hint="default"/>
      </w:rPr>
    </w:lvl>
    <w:lvl w:ilvl="6" w:tplc="15281BBA" w:tentative="1">
      <w:start w:val="1"/>
      <w:numFmt w:val="bullet"/>
      <w:lvlText w:val=""/>
      <w:lvlJc w:val="left"/>
      <w:pPr>
        <w:tabs>
          <w:tab w:val="num" w:pos="5040"/>
        </w:tabs>
        <w:ind w:left="5040" w:hanging="360"/>
      </w:pPr>
      <w:rPr>
        <w:rFonts w:ascii="Wingdings 2" w:hAnsi="Wingdings 2" w:hint="default"/>
      </w:rPr>
    </w:lvl>
    <w:lvl w:ilvl="7" w:tplc="29089682" w:tentative="1">
      <w:start w:val="1"/>
      <w:numFmt w:val="bullet"/>
      <w:lvlText w:val=""/>
      <w:lvlJc w:val="left"/>
      <w:pPr>
        <w:tabs>
          <w:tab w:val="num" w:pos="5760"/>
        </w:tabs>
        <w:ind w:left="5760" w:hanging="360"/>
      </w:pPr>
      <w:rPr>
        <w:rFonts w:ascii="Wingdings 2" w:hAnsi="Wingdings 2" w:hint="default"/>
      </w:rPr>
    </w:lvl>
    <w:lvl w:ilvl="8" w:tplc="6108CCF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5A3C7794"/>
    <w:multiLevelType w:val="hybridMultilevel"/>
    <w:tmpl w:val="C1C89FA4"/>
    <w:lvl w:ilvl="0" w:tplc="9DAE9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D1A1E"/>
    <w:multiLevelType w:val="hybridMultilevel"/>
    <w:tmpl w:val="409E3F58"/>
    <w:lvl w:ilvl="0" w:tplc="245663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2C0E8E"/>
    <w:multiLevelType w:val="hybridMultilevel"/>
    <w:tmpl w:val="409E3F58"/>
    <w:lvl w:ilvl="0" w:tplc="245663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759317">
    <w:abstractNumId w:val="8"/>
  </w:num>
  <w:num w:numId="2" w16cid:durableId="441145396">
    <w:abstractNumId w:val="6"/>
  </w:num>
  <w:num w:numId="3" w16cid:durableId="1970234973">
    <w:abstractNumId w:val="16"/>
  </w:num>
  <w:num w:numId="4" w16cid:durableId="1838614653">
    <w:abstractNumId w:val="3"/>
  </w:num>
  <w:num w:numId="5" w16cid:durableId="1545561715">
    <w:abstractNumId w:val="17"/>
  </w:num>
  <w:num w:numId="6" w16cid:durableId="855340713">
    <w:abstractNumId w:val="18"/>
  </w:num>
  <w:num w:numId="7" w16cid:durableId="276259465">
    <w:abstractNumId w:val="7"/>
  </w:num>
  <w:num w:numId="8" w16cid:durableId="2012833671">
    <w:abstractNumId w:val="9"/>
  </w:num>
  <w:num w:numId="9" w16cid:durableId="275673292">
    <w:abstractNumId w:val="5"/>
  </w:num>
  <w:num w:numId="10" w16cid:durableId="227234256">
    <w:abstractNumId w:val="1"/>
  </w:num>
  <w:num w:numId="11" w16cid:durableId="991905649">
    <w:abstractNumId w:val="15"/>
  </w:num>
  <w:num w:numId="12" w16cid:durableId="653292944">
    <w:abstractNumId w:val="2"/>
  </w:num>
  <w:num w:numId="13" w16cid:durableId="356005324">
    <w:abstractNumId w:val="13"/>
  </w:num>
  <w:num w:numId="14" w16cid:durableId="1704479639">
    <w:abstractNumId w:val="0"/>
  </w:num>
  <w:num w:numId="15" w16cid:durableId="1094667581">
    <w:abstractNumId w:val="14"/>
  </w:num>
  <w:num w:numId="16" w16cid:durableId="2060669111">
    <w:abstractNumId w:val="12"/>
  </w:num>
  <w:num w:numId="17" w16cid:durableId="684012958">
    <w:abstractNumId w:val="4"/>
  </w:num>
  <w:num w:numId="18" w16cid:durableId="1860896571">
    <w:abstractNumId w:val="10"/>
  </w:num>
  <w:num w:numId="19" w16cid:durableId="19143126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yNLUwNDQ3MbIwMDZW0lEKTi0uzszPAykwqgUAGYzWfSwAAAA="/>
  </w:docVars>
  <w:rsids>
    <w:rsidRoot w:val="00D92D25"/>
    <w:rsid w:val="0000127E"/>
    <w:rsid w:val="00004F38"/>
    <w:rsid w:val="00005D01"/>
    <w:rsid w:val="000066A1"/>
    <w:rsid w:val="00007742"/>
    <w:rsid w:val="000100EF"/>
    <w:rsid w:val="00013BD2"/>
    <w:rsid w:val="00013EFA"/>
    <w:rsid w:val="000148EB"/>
    <w:rsid w:val="00014BDE"/>
    <w:rsid w:val="00015632"/>
    <w:rsid w:val="00016556"/>
    <w:rsid w:val="00016F39"/>
    <w:rsid w:val="0002004E"/>
    <w:rsid w:val="000247FA"/>
    <w:rsid w:val="00024BF9"/>
    <w:rsid w:val="000255A7"/>
    <w:rsid w:val="00025EB7"/>
    <w:rsid w:val="00025F2C"/>
    <w:rsid w:val="000261CA"/>
    <w:rsid w:val="00026457"/>
    <w:rsid w:val="000268CC"/>
    <w:rsid w:val="00027840"/>
    <w:rsid w:val="00027E2B"/>
    <w:rsid w:val="00030620"/>
    <w:rsid w:val="000329EB"/>
    <w:rsid w:val="000336B0"/>
    <w:rsid w:val="000342B1"/>
    <w:rsid w:val="000347CA"/>
    <w:rsid w:val="00035AB4"/>
    <w:rsid w:val="00037C3E"/>
    <w:rsid w:val="000441A7"/>
    <w:rsid w:val="00045456"/>
    <w:rsid w:val="000457D2"/>
    <w:rsid w:val="000535FE"/>
    <w:rsid w:val="00053A35"/>
    <w:rsid w:val="000542D0"/>
    <w:rsid w:val="000545FF"/>
    <w:rsid w:val="000561E4"/>
    <w:rsid w:val="00056451"/>
    <w:rsid w:val="000604D0"/>
    <w:rsid w:val="00060CAA"/>
    <w:rsid w:val="00061EA3"/>
    <w:rsid w:val="00061F99"/>
    <w:rsid w:val="00064F6D"/>
    <w:rsid w:val="000655CB"/>
    <w:rsid w:val="00066DB0"/>
    <w:rsid w:val="00067035"/>
    <w:rsid w:val="000671DA"/>
    <w:rsid w:val="000678D8"/>
    <w:rsid w:val="0007336A"/>
    <w:rsid w:val="00074027"/>
    <w:rsid w:val="00074C69"/>
    <w:rsid w:val="00075B41"/>
    <w:rsid w:val="000763E7"/>
    <w:rsid w:val="00076BDA"/>
    <w:rsid w:val="00081281"/>
    <w:rsid w:val="00081745"/>
    <w:rsid w:val="00081AB7"/>
    <w:rsid w:val="000822FE"/>
    <w:rsid w:val="00083414"/>
    <w:rsid w:val="00083C6D"/>
    <w:rsid w:val="0008411F"/>
    <w:rsid w:val="0008649A"/>
    <w:rsid w:val="00096603"/>
    <w:rsid w:val="00097472"/>
    <w:rsid w:val="000A0EE5"/>
    <w:rsid w:val="000A1F41"/>
    <w:rsid w:val="000A40FA"/>
    <w:rsid w:val="000A730E"/>
    <w:rsid w:val="000B17D4"/>
    <w:rsid w:val="000B19AC"/>
    <w:rsid w:val="000B300F"/>
    <w:rsid w:val="000B516B"/>
    <w:rsid w:val="000B520D"/>
    <w:rsid w:val="000C02FA"/>
    <w:rsid w:val="000C56CA"/>
    <w:rsid w:val="000C6ADA"/>
    <w:rsid w:val="000C6F2B"/>
    <w:rsid w:val="000D1BED"/>
    <w:rsid w:val="000D2287"/>
    <w:rsid w:val="000D68C5"/>
    <w:rsid w:val="000D7336"/>
    <w:rsid w:val="000E1D25"/>
    <w:rsid w:val="000E230E"/>
    <w:rsid w:val="000E2AF0"/>
    <w:rsid w:val="000E3203"/>
    <w:rsid w:val="000E4266"/>
    <w:rsid w:val="000E46A4"/>
    <w:rsid w:val="000E5395"/>
    <w:rsid w:val="000F0B89"/>
    <w:rsid w:val="000F1F9F"/>
    <w:rsid w:val="000F23CE"/>
    <w:rsid w:val="000F2BE6"/>
    <w:rsid w:val="000F31AB"/>
    <w:rsid w:val="000F5878"/>
    <w:rsid w:val="000F752F"/>
    <w:rsid w:val="000F7891"/>
    <w:rsid w:val="000F792E"/>
    <w:rsid w:val="001002BD"/>
    <w:rsid w:val="00101181"/>
    <w:rsid w:val="0010181C"/>
    <w:rsid w:val="00117493"/>
    <w:rsid w:val="001179E2"/>
    <w:rsid w:val="00117C75"/>
    <w:rsid w:val="001218B6"/>
    <w:rsid w:val="00122403"/>
    <w:rsid w:val="00123E4C"/>
    <w:rsid w:val="00124681"/>
    <w:rsid w:val="00125486"/>
    <w:rsid w:val="00126D81"/>
    <w:rsid w:val="00126FD8"/>
    <w:rsid w:val="00127E1C"/>
    <w:rsid w:val="0013472E"/>
    <w:rsid w:val="0013606F"/>
    <w:rsid w:val="0013648D"/>
    <w:rsid w:val="00136A11"/>
    <w:rsid w:val="00136DF6"/>
    <w:rsid w:val="00140DF4"/>
    <w:rsid w:val="00142638"/>
    <w:rsid w:val="0014280D"/>
    <w:rsid w:val="001429CE"/>
    <w:rsid w:val="00142AD6"/>
    <w:rsid w:val="001439FD"/>
    <w:rsid w:val="00146499"/>
    <w:rsid w:val="00146B9B"/>
    <w:rsid w:val="001474DC"/>
    <w:rsid w:val="001521AC"/>
    <w:rsid w:val="0015267F"/>
    <w:rsid w:val="00154502"/>
    <w:rsid w:val="00154899"/>
    <w:rsid w:val="001558CA"/>
    <w:rsid w:val="00160CA5"/>
    <w:rsid w:val="0016153F"/>
    <w:rsid w:val="001632C4"/>
    <w:rsid w:val="0016380F"/>
    <w:rsid w:val="00165A60"/>
    <w:rsid w:val="00166571"/>
    <w:rsid w:val="00170398"/>
    <w:rsid w:val="001706F9"/>
    <w:rsid w:val="00170D35"/>
    <w:rsid w:val="001723D9"/>
    <w:rsid w:val="001747E1"/>
    <w:rsid w:val="00181A01"/>
    <w:rsid w:val="001841AA"/>
    <w:rsid w:val="00185CFE"/>
    <w:rsid w:val="00185ECF"/>
    <w:rsid w:val="00186BF0"/>
    <w:rsid w:val="00186C4A"/>
    <w:rsid w:val="001873B9"/>
    <w:rsid w:val="00187477"/>
    <w:rsid w:val="00187CAA"/>
    <w:rsid w:val="00190E1B"/>
    <w:rsid w:val="00193210"/>
    <w:rsid w:val="0019553F"/>
    <w:rsid w:val="00197276"/>
    <w:rsid w:val="001A1A4C"/>
    <w:rsid w:val="001A244E"/>
    <w:rsid w:val="001A53A7"/>
    <w:rsid w:val="001A69FB"/>
    <w:rsid w:val="001A712F"/>
    <w:rsid w:val="001A75CD"/>
    <w:rsid w:val="001A7A38"/>
    <w:rsid w:val="001A7C17"/>
    <w:rsid w:val="001B1E4A"/>
    <w:rsid w:val="001B4800"/>
    <w:rsid w:val="001B4CB1"/>
    <w:rsid w:val="001C15F5"/>
    <w:rsid w:val="001C1DB0"/>
    <w:rsid w:val="001C4A1C"/>
    <w:rsid w:val="001C58D0"/>
    <w:rsid w:val="001C69BE"/>
    <w:rsid w:val="001D2423"/>
    <w:rsid w:val="001D2D3A"/>
    <w:rsid w:val="001D6E94"/>
    <w:rsid w:val="001D704A"/>
    <w:rsid w:val="001D7592"/>
    <w:rsid w:val="001D7FDD"/>
    <w:rsid w:val="001E03BC"/>
    <w:rsid w:val="001E319A"/>
    <w:rsid w:val="001E459D"/>
    <w:rsid w:val="001E7C3D"/>
    <w:rsid w:val="001F13F2"/>
    <w:rsid w:val="001F1458"/>
    <w:rsid w:val="001F226C"/>
    <w:rsid w:val="001F26BA"/>
    <w:rsid w:val="001F3AFC"/>
    <w:rsid w:val="001F4F35"/>
    <w:rsid w:val="001F5B07"/>
    <w:rsid w:val="001F6B8D"/>
    <w:rsid w:val="001F75D9"/>
    <w:rsid w:val="0020452E"/>
    <w:rsid w:val="002066A9"/>
    <w:rsid w:val="002076E2"/>
    <w:rsid w:val="00210BED"/>
    <w:rsid w:val="0021206A"/>
    <w:rsid w:val="002131E0"/>
    <w:rsid w:val="00213B8E"/>
    <w:rsid w:val="002214D1"/>
    <w:rsid w:val="00223071"/>
    <w:rsid w:val="00224A3D"/>
    <w:rsid w:val="002258B1"/>
    <w:rsid w:val="00225D80"/>
    <w:rsid w:val="002275A7"/>
    <w:rsid w:val="00227DDB"/>
    <w:rsid w:val="00233067"/>
    <w:rsid w:val="00233069"/>
    <w:rsid w:val="002347AA"/>
    <w:rsid w:val="00235B7A"/>
    <w:rsid w:val="002365A9"/>
    <w:rsid w:val="00236D57"/>
    <w:rsid w:val="00236F93"/>
    <w:rsid w:val="002374C7"/>
    <w:rsid w:val="002411DF"/>
    <w:rsid w:val="00241660"/>
    <w:rsid w:val="002422C9"/>
    <w:rsid w:val="00243B34"/>
    <w:rsid w:val="002456FC"/>
    <w:rsid w:val="00247E9B"/>
    <w:rsid w:val="00251F78"/>
    <w:rsid w:val="00252AFD"/>
    <w:rsid w:val="0025461D"/>
    <w:rsid w:val="00256FC0"/>
    <w:rsid w:val="0025735E"/>
    <w:rsid w:val="00257E2D"/>
    <w:rsid w:val="00260AA4"/>
    <w:rsid w:val="0026105D"/>
    <w:rsid w:val="00261231"/>
    <w:rsid w:val="00263F85"/>
    <w:rsid w:val="00265351"/>
    <w:rsid w:val="002660CF"/>
    <w:rsid w:val="002667D0"/>
    <w:rsid w:val="00274007"/>
    <w:rsid w:val="0027483F"/>
    <w:rsid w:val="00274A27"/>
    <w:rsid w:val="00274A4F"/>
    <w:rsid w:val="00275672"/>
    <w:rsid w:val="0027678E"/>
    <w:rsid w:val="00277690"/>
    <w:rsid w:val="00284CA6"/>
    <w:rsid w:val="00284D81"/>
    <w:rsid w:val="00285CD8"/>
    <w:rsid w:val="00286F93"/>
    <w:rsid w:val="00287D31"/>
    <w:rsid w:val="00290F15"/>
    <w:rsid w:val="00291A03"/>
    <w:rsid w:val="00295129"/>
    <w:rsid w:val="00295FE0"/>
    <w:rsid w:val="002965FC"/>
    <w:rsid w:val="002A1BE1"/>
    <w:rsid w:val="002A1DAE"/>
    <w:rsid w:val="002A3101"/>
    <w:rsid w:val="002A3164"/>
    <w:rsid w:val="002A43C0"/>
    <w:rsid w:val="002B0270"/>
    <w:rsid w:val="002B1061"/>
    <w:rsid w:val="002B3D83"/>
    <w:rsid w:val="002B4661"/>
    <w:rsid w:val="002B67E6"/>
    <w:rsid w:val="002B6E5C"/>
    <w:rsid w:val="002C131C"/>
    <w:rsid w:val="002C236D"/>
    <w:rsid w:val="002C24CC"/>
    <w:rsid w:val="002C2F52"/>
    <w:rsid w:val="002C4691"/>
    <w:rsid w:val="002C5D17"/>
    <w:rsid w:val="002C5F73"/>
    <w:rsid w:val="002C6D2B"/>
    <w:rsid w:val="002C7783"/>
    <w:rsid w:val="002D0EC9"/>
    <w:rsid w:val="002D252C"/>
    <w:rsid w:val="002D2BA3"/>
    <w:rsid w:val="002D4E1B"/>
    <w:rsid w:val="002D50B4"/>
    <w:rsid w:val="002D50D7"/>
    <w:rsid w:val="002D5DB0"/>
    <w:rsid w:val="002D6460"/>
    <w:rsid w:val="002D67B3"/>
    <w:rsid w:val="002E0319"/>
    <w:rsid w:val="002E23FB"/>
    <w:rsid w:val="002E2504"/>
    <w:rsid w:val="002E2AD4"/>
    <w:rsid w:val="002E3C30"/>
    <w:rsid w:val="002E4EDA"/>
    <w:rsid w:val="002E5489"/>
    <w:rsid w:val="002E6860"/>
    <w:rsid w:val="002E6C98"/>
    <w:rsid w:val="002F0529"/>
    <w:rsid w:val="002F0941"/>
    <w:rsid w:val="002F1E11"/>
    <w:rsid w:val="002F2971"/>
    <w:rsid w:val="002F41F9"/>
    <w:rsid w:val="002F6053"/>
    <w:rsid w:val="00300608"/>
    <w:rsid w:val="00300EDC"/>
    <w:rsid w:val="00301249"/>
    <w:rsid w:val="00302EDC"/>
    <w:rsid w:val="00304056"/>
    <w:rsid w:val="003041E1"/>
    <w:rsid w:val="00304FDB"/>
    <w:rsid w:val="003100A8"/>
    <w:rsid w:val="00311A15"/>
    <w:rsid w:val="0031227A"/>
    <w:rsid w:val="00313D6C"/>
    <w:rsid w:val="0031468B"/>
    <w:rsid w:val="00314BF7"/>
    <w:rsid w:val="00314C76"/>
    <w:rsid w:val="00314CB4"/>
    <w:rsid w:val="00317EC0"/>
    <w:rsid w:val="003220BA"/>
    <w:rsid w:val="003234B7"/>
    <w:rsid w:val="003255A7"/>
    <w:rsid w:val="00327A61"/>
    <w:rsid w:val="00327CDE"/>
    <w:rsid w:val="00330917"/>
    <w:rsid w:val="003332DC"/>
    <w:rsid w:val="00333A8D"/>
    <w:rsid w:val="00333E31"/>
    <w:rsid w:val="00334B94"/>
    <w:rsid w:val="003358C5"/>
    <w:rsid w:val="00337595"/>
    <w:rsid w:val="0034073D"/>
    <w:rsid w:val="003430DC"/>
    <w:rsid w:val="00345012"/>
    <w:rsid w:val="0034751A"/>
    <w:rsid w:val="00350A12"/>
    <w:rsid w:val="00350A53"/>
    <w:rsid w:val="003517F5"/>
    <w:rsid w:val="00351A9E"/>
    <w:rsid w:val="003543D5"/>
    <w:rsid w:val="00357D0E"/>
    <w:rsid w:val="00357E05"/>
    <w:rsid w:val="00363A05"/>
    <w:rsid w:val="00364BFD"/>
    <w:rsid w:val="00365C12"/>
    <w:rsid w:val="00366001"/>
    <w:rsid w:val="003673DE"/>
    <w:rsid w:val="0037019F"/>
    <w:rsid w:val="00371EF7"/>
    <w:rsid w:val="003721B8"/>
    <w:rsid w:val="00380084"/>
    <w:rsid w:val="00384130"/>
    <w:rsid w:val="00384572"/>
    <w:rsid w:val="00385240"/>
    <w:rsid w:val="00386C39"/>
    <w:rsid w:val="00397B03"/>
    <w:rsid w:val="003A05B3"/>
    <w:rsid w:val="003A1628"/>
    <w:rsid w:val="003A3380"/>
    <w:rsid w:val="003A3B02"/>
    <w:rsid w:val="003A5097"/>
    <w:rsid w:val="003A6487"/>
    <w:rsid w:val="003A7E8E"/>
    <w:rsid w:val="003B4A53"/>
    <w:rsid w:val="003B4B3A"/>
    <w:rsid w:val="003B6135"/>
    <w:rsid w:val="003B7FC5"/>
    <w:rsid w:val="003C2973"/>
    <w:rsid w:val="003C3137"/>
    <w:rsid w:val="003C465B"/>
    <w:rsid w:val="003C69C7"/>
    <w:rsid w:val="003C6E1C"/>
    <w:rsid w:val="003C7585"/>
    <w:rsid w:val="003D0EA9"/>
    <w:rsid w:val="003D1315"/>
    <w:rsid w:val="003D219D"/>
    <w:rsid w:val="003D3B9D"/>
    <w:rsid w:val="003D3C3D"/>
    <w:rsid w:val="003D4034"/>
    <w:rsid w:val="003D4E62"/>
    <w:rsid w:val="003D52AE"/>
    <w:rsid w:val="003D579E"/>
    <w:rsid w:val="003E1D38"/>
    <w:rsid w:val="003E2063"/>
    <w:rsid w:val="003E3152"/>
    <w:rsid w:val="003F05C3"/>
    <w:rsid w:val="003F651E"/>
    <w:rsid w:val="003F71F7"/>
    <w:rsid w:val="003F7470"/>
    <w:rsid w:val="003F7601"/>
    <w:rsid w:val="004009E4"/>
    <w:rsid w:val="00404FD2"/>
    <w:rsid w:val="00410CE5"/>
    <w:rsid w:val="0041211F"/>
    <w:rsid w:val="004141DB"/>
    <w:rsid w:val="00416434"/>
    <w:rsid w:val="0041694F"/>
    <w:rsid w:val="0041742C"/>
    <w:rsid w:val="0042163E"/>
    <w:rsid w:val="00423950"/>
    <w:rsid w:val="00424474"/>
    <w:rsid w:val="00430321"/>
    <w:rsid w:val="0043247E"/>
    <w:rsid w:val="00432C14"/>
    <w:rsid w:val="0043358E"/>
    <w:rsid w:val="004349E2"/>
    <w:rsid w:val="00434A3A"/>
    <w:rsid w:val="00435F6C"/>
    <w:rsid w:val="004439D3"/>
    <w:rsid w:val="00444BA6"/>
    <w:rsid w:val="004467A1"/>
    <w:rsid w:val="00447114"/>
    <w:rsid w:val="00447AE7"/>
    <w:rsid w:val="004525AC"/>
    <w:rsid w:val="00452D77"/>
    <w:rsid w:val="00452EEB"/>
    <w:rsid w:val="00453C34"/>
    <w:rsid w:val="00455014"/>
    <w:rsid w:val="00455374"/>
    <w:rsid w:val="004559E1"/>
    <w:rsid w:val="00455A2E"/>
    <w:rsid w:val="00455F18"/>
    <w:rsid w:val="0045617D"/>
    <w:rsid w:val="00456B1E"/>
    <w:rsid w:val="00457249"/>
    <w:rsid w:val="00457C37"/>
    <w:rsid w:val="00460F15"/>
    <w:rsid w:val="004628DC"/>
    <w:rsid w:val="00462BB5"/>
    <w:rsid w:val="00465788"/>
    <w:rsid w:val="00465A70"/>
    <w:rsid w:val="0046788F"/>
    <w:rsid w:val="00481331"/>
    <w:rsid w:val="004873F0"/>
    <w:rsid w:val="00490712"/>
    <w:rsid w:val="0049100B"/>
    <w:rsid w:val="00492491"/>
    <w:rsid w:val="00496EFC"/>
    <w:rsid w:val="004A5EB8"/>
    <w:rsid w:val="004A77A4"/>
    <w:rsid w:val="004B0471"/>
    <w:rsid w:val="004B12FE"/>
    <w:rsid w:val="004B2781"/>
    <w:rsid w:val="004B3568"/>
    <w:rsid w:val="004B3CED"/>
    <w:rsid w:val="004B51C9"/>
    <w:rsid w:val="004B71DF"/>
    <w:rsid w:val="004C1CB5"/>
    <w:rsid w:val="004C2F2F"/>
    <w:rsid w:val="004D389B"/>
    <w:rsid w:val="004D6655"/>
    <w:rsid w:val="004D7831"/>
    <w:rsid w:val="004E20DD"/>
    <w:rsid w:val="004E2666"/>
    <w:rsid w:val="004E307D"/>
    <w:rsid w:val="004F0C7C"/>
    <w:rsid w:val="004F2C31"/>
    <w:rsid w:val="004F2CE2"/>
    <w:rsid w:val="004F5EB2"/>
    <w:rsid w:val="004F66D0"/>
    <w:rsid w:val="004F71BE"/>
    <w:rsid w:val="00500FD8"/>
    <w:rsid w:val="005019C5"/>
    <w:rsid w:val="00501CB6"/>
    <w:rsid w:val="00504691"/>
    <w:rsid w:val="00505E5F"/>
    <w:rsid w:val="00506A1D"/>
    <w:rsid w:val="00506E35"/>
    <w:rsid w:val="00507114"/>
    <w:rsid w:val="00510A90"/>
    <w:rsid w:val="00512B62"/>
    <w:rsid w:val="005130F9"/>
    <w:rsid w:val="005156F7"/>
    <w:rsid w:val="00515DF1"/>
    <w:rsid w:val="0052057B"/>
    <w:rsid w:val="00521040"/>
    <w:rsid w:val="00521FBB"/>
    <w:rsid w:val="00525F01"/>
    <w:rsid w:val="00527CA0"/>
    <w:rsid w:val="005315DB"/>
    <w:rsid w:val="0053509C"/>
    <w:rsid w:val="00535425"/>
    <w:rsid w:val="00535474"/>
    <w:rsid w:val="00535A6C"/>
    <w:rsid w:val="005368BC"/>
    <w:rsid w:val="00541D48"/>
    <w:rsid w:val="00541DDD"/>
    <w:rsid w:val="00542EBE"/>
    <w:rsid w:val="00543448"/>
    <w:rsid w:val="005455FC"/>
    <w:rsid w:val="00545959"/>
    <w:rsid w:val="00546300"/>
    <w:rsid w:val="005472F3"/>
    <w:rsid w:val="00547A9F"/>
    <w:rsid w:val="0055031A"/>
    <w:rsid w:val="0055041C"/>
    <w:rsid w:val="005525AB"/>
    <w:rsid w:val="00552D8E"/>
    <w:rsid w:val="00553415"/>
    <w:rsid w:val="00553B36"/>
    <w:rsid w:val="00554494"/>
    <w:rsid w:val="00554669"/>
    <w:rsid w:val="00556EC2"/>
    <w:rsid w:val="00557541"/>
    <w:rsid w:val="00560C7A"/>
    <w:rsid w:val="0056270C"/>
    <w:rsid w:val="00564DAA"/>
    <w:rsid w:val="005651DB"/>
    <w:rsid w:val="005655CA"/>
    <w:rsid w:val="00566512"/>
    <w:rsid w:val="005670A4"/>
    <w:rsid w:val="00570A4D"/>
    <w:rsid w:val="005718B3"/>
    <w:rsid w:val="00571F2F"/>
    <w:rsid w:val="00573E9E"/>
    <w:rsid w:val="00574E25"/>
    <w:rsid w:val="00576206"/>
    <w:rsid w:val="00576EBD"/>
    <w:rsid w:val="00577621"/>
    <w:rsid w:val="005809E4"/>
    <w:rsid w:val="0058124E"/>
    <w:rsid w:val="00591AB8"/>
    <w:rsid w:val="005937FB"/>
    <w:rsid w:val="0059737B"/>
    <w:rsid w:val="00597848"/>
    <w:rsid w:val="00597E0A"/>
    <w:rsid w:val="005A1276"/>
    <w:rsid w:val="005A210C"/>
    <w:rsid w:val="005A304D"/>
    <w:rsid w:val="005A4BDA"/>
    <w:rsid w:val="005A5A2E"/>
    <w:rsid w:val="005A7780"/>
    <w:rsid w:val="005B05AD"/>
    <w:rsid w:val="005B125E"/>
    <w:rsid w:val="005B1ABC"/>
    <w:rsid w:val="005B32F5"/>
    <w:rsid w:val="005B3626"/>
    <w:rsid w:val="005B3809"/>
    <w:rsid w:val="005B46AF"/>
    <w:rsid w:val="005B5114"/>
    <w:rsid w:val="005B5DE6"/>
    <w:rsid w:val="005B69CB"/>
    <w:rsid w:val="005C2FA9"/>
    <w:rsid w:val="005C351E"/>
    <w:rsid w:val="005C619F"/>
    <w:rsid w:val="005D03FB"/>
    <w:rsid w:val="005D1344"/>
    <w:rsid w:val="005D386E"/>
    <w:rsid w:val="005D4632"/>
    <w:rsid w:val="005D7CB1"/>
    <w:rsid w:val="005E0333"/>
    <w:rsid w:val="005E194D"/>
    <w:rsid w:val="005E1C22"/>
    <w:rsid w:val="005E345A"/>
    <w:rsid w:val="005E7053"/>
    <w:rsid w:val="005F184F"/>
    <w:rsid w:val="005F3BBF"/>
    <w:rsid w:val="005F411D"/>
    <w:rsid w:val="005F4439"/>
    <w:rsid w:val="005F49C0"/>
    <w:rsid w:val="005F6C7F"/>
    <w:rsid w:val="005F7C28"/>
    <w:rsid w:val="00601644"/>
    <w:rsid w:val="006042F2"/>
    <w:rsid w:val="00613396"/>
    <w:rsid w:val="00613EC1"/>
    <w:rsid w:val="00623851"/>
    <w:rsid w:val="00624704"/>
    <w:rsid w:val="00624DE7"/>
    <w:rsid w:val="0062504A"/>
    <w:rsid w:val="006322F5"/>
    <w:rsid w:val="00632859"/>
    <w:rsid w:val="00632A2C"/>
    <w:rsid w:val="00632E39"/>
    <w:rsid w:val="00632E7B"/>
    <w:rsid w:val="0063753F"/>
    <w:rsid w:val="00641A17"/>
    <w:rsid w:val="00642F65"/>
    <w:rsid w:val="00645193"/>
    <w:rsid w:val="00646669"/>
    <w:rsid w:val="00646BBF"/>
    <w:rsid w:val="006474EE"/>
    <w:rsid w:val="00655EB7"/>
    <w:rsid w:val="00661B51"/>
    <w:rsid w:val="006666A4"/>
    <w:rsid w:val="00671BF4"/>
    <w:rsid w:val="0067321F"/>
    <w:rsid w:val="006746A7"/>
    <w:rsid w:val="00674A48"/>
    <w:rsid w:val="006761B8"/>
    <w:rsid w:val="00677895"/>
    <w:rsid w:val="00677D30"/>
    <w:rsid w:val="00680EBD"/>
    <w:rsid w:val="00684A11"/>
    <w:rsid w:val="0068520B"/>
    <w:rsid w:val="00686C4F"/>
    <w:rsid w:val="00691CEA"/>
    <w:rsid w:val="0069296C"/>
    <w:rsid w:val="0069387A"/>
    <w:rsid w:val="00694C38"/>
    <w:rsid w:val="00694FCC"/>
    <w:rsid w:val="006A098D"/>
    <w:rsid w:val="006A1E5F"/>
    <w:rsid w:val="006A3607"/>
    <w:rsid w:val="006A4335"/>
    <w:rsid w:val="006A79FE"/>
    <w:rsid w:val="006B047C"/>
    <w:rsid w:val="006B1928"/>
    <w:rsid w:val="006B261A"/>
    <w:rsid w:val="006B307E"/>
    <w:rsid w:val="006B6FA1"/>
    <w:rsid w:val="006B71CE"/>
    <w:rsid w:val="006B799D"/>
    <w:rsid w:val="006C0C27"/>
    <w:rsid w:val="006C3371"/>
    <w:rsid w:val="006C47E5"/>
    <w:rsid w:val="006C63F5"/>
    <w:rsid w:val="006C7691"/>
    <w:rsid w:val="006C7B46"/>
    <w:rsid w:val="006D3F28"/>
    <w:rsid w:val="006D5626"/>
    <w:rsid w:val="006E0D08"/>
    <w:rsid w:val="006E1ADB"/>
    <w:rsid w:val="006E1BA5"/>
    <w:rsid w:val="006E4FB5"/>
    <w:rsid w:val="006E5181"/>
    <w:rsid w:val="006F0E14"/>
    <w:rsid w:val="006F0EB7"/>
    <w:rsid w:val="006F0F47"/>
    <w:rsid w:val="006F107A"/>
    <w:rsid w:val="006F206F"/>
    <w:rsid w:val="006F4CAD"/>
    <w:rsid w:val="006F4CB8"/>
    <w:rsid w:val="006F67F0"/>
    <w:rsid w:val="006F74CB"/>
    <w:rsid w:val="00700F95"/>
    <w:rsid w:val="00701B2B"/>
    <w:rsid w:val="00701D24"/>
    <w:rsid w:val="007028EB"/>
    <w:rsid w:val="00703339"/>
    <w:rsid w:val="00705782"/>
    <w:rsid w:val="00711CE4"/>
    <w:rsid w:val="00715734"/>
    <w:rsid w:val="00715C61"/>
    <w:rsid w:val="007167D5"/>
    <w:rsid w:val="0071685C"/>
    <w:rsid w:val="007170F8"/>
    <w:rsid w:val="00717D7A"/>
    <w:rsid w:val="0072039D"/>
    <w:rsid w:val="00720D6B"/>
    <w:rsid w:val="0072142C"/>
    <w:rsid w:val="00721A93"/>
    <w:rsid w:val="007229F4"/>
    <w:rsid w:val="00723356"/>
    <w:rsid w:val="00724CBF"/>
    <w:rsid w:val="00725012"/>
    <w:rsid w:val="00726FE9"/>
    <w:rsid w:val="00730F93"/>
    <w:rsid w:val="0073244F"/>
    <w:rsid w:val="00733CE8"/>
    <w:rsid w:val="00733F7A"/>
    <w:rsid w:val="00734133"/>
    <w:rsid w:val="007341A7"/>
    <w:rsid w:val="00734DD3"/>
    <w:rsid w:val="00735AD4"/>
    <w:rsid w:val="00735D7F"/>
    <w:rsid w:val="00737D2A"/>
    <w:rsid w:val="00737FD6"/>
    <w:rsid w:val="007422E9"/>
    <w:rsid w:val="007456C5"/>
    <w:rsid w:val="00745E45"/>
    <w:rsid w:val="00746E39"/>
    <w:rsid w:val="00746F18"/>
    <w:rsid w:val="00747DE1"/>
    <w:rsid w:val="00752D68"/>
    <w:rsid w:val="00755912"/>
    <w:rsid w:val="007618FC"/>
    <w:rsid w:val="0076311C"/>
    <w:rsid w:val="00763A6A"/>
    <w:rsid w:val="00763C67"/>
    <w:rsid w:val="00763D1E"/>
    <w:rsid w:val="007649B4"/>
    <w:rsid w:val="00765968"/>
    <w:rsid w:val="00767FF4"/>
    <w:rsid w:val="007718E8"/>
    <w:rsid w:val="00772072"/>
    <w:rsid w:val="0077484A"/>
    <w:rsid w:val="00775EAE"/>
    <w:rsid w:val="00777332"/>
    <w:rsid w:val="0078134E"/>
    <w:rsid w:val="007832E8"/>
    <w:rsid w:val="00784E48"/>
    <w:rsid w:val="00785EB1"/>
    <w:rsid w:val="007876ED"/>
    <w:rsid w:val="007906E6"/>
    <w:rsid w:val="00791D59"/>
    <w:rsid w:val="0079362F"/>
    <w:rsid w:val="00794753"/>
    <w:rsid w:val="00794A52"/>
    <w:rsid w:val="00794C57"/>
    <w:rsid w:val="00797EBF"/>
    <w:rsid w:val="007A282D"/>
    <w:rsid w:val="007A5E97"/>
    <w:rsid w:val="007A61B8"/>
    <w:rsid w:val="007A6B43"/>
    <w:rsid w:val="007A6E06"/>
    <w:rsid w:val="007A7A97"/>
    <w:rsid w:val="007B098A"/>
    <w:rsid w:val="007B1AC1"/>
    <w:rsid w:val="007B6CB6"/>
    <w:rsid w:val="007B76A1"/>
    <w:rsid w:val="007C20F1"/>
    <w:rsid w:val="007C316F"/>
    <w:rsid w:val="007C4DFF"/>
    <w:rsid w:val="007C6F49"/>
    <w:rsid w:val="007C73C3"/>
    <w:rsid w:val="007D2A18"/>
    <w:rsid w:val="007D5FFD"/>
    <w:rsid w:val="007D6AFB"/>
    <w:rsid w:val="007E07E1"/>
    <w:rsid w:val="007E1154"/>
    <w:rsid w:val="007E2339"/>
    <w:rsid w:val="007E34F7"/>
    <w:rsid w:val="007E43F8"/>
    <w:rsid w:val="007E6447"/>
    <w:rsid w:val="007E7989"/>
    <w:rsid w:val="007F0BEF"/>
    <w:rsid w:val="007F15CE"/>
    <w:rsid w:val="007F3681"/>
    <w:rsid w:val="007F3A1C"/>
    <w:rsid w:val="008026D3"/>
    <w:rsid w:val="00804ECF"/>
    <w:rsid w:val="0080586B"/>
    <w:rsid w:val="0080695C"/>
    <w:rsid w:val="00811513"/>
    <w:rsid w:val="00811997"/>
    <w:rsid w:val="008149D5"/>
    <w:rsid w:val="0081702D"/>
    <w:rsid w:val="00820882"/>
    <w:rsid w:val="0082133D"/>
    <w:rsid w:val="00822504"/>
    <w:rsid w:val="008241BF"/>
    <w:rsid w:val="008270F7"/>
    <w:rsid w:val="008302EA"/>
    <w:rsid w:val="00830C8D"/>
    <w:rsid w:val="008358D5"/>
    <w:rsid w:val="008366DF"/>
    <w:rsid w:val="008418AD"/>
    <w:rsid w:val="00842A25"/>
    <w:rsid w:val="00843C2C"/>
    <w:rsid w:val="00843E85"/>
    <w:rsid w:val="008449C8"/>
    <w:rsid w:val="00846B74"/>
    <w:rsid w:val="008477C5"/>
    <w:rsid w:val="00847BE8"/>
    <w:rsid w:val="0085105E"/>
    <w:rsid w:val="00851D1E"/>
    <w:rsid w:val="008540FD"/>
    <w:rsid w:val="00855DD9"/>
    <w:rsid w:val="00857211"/>
    <w:rsid w:val="0085734E"/>
    <w:rsid w:val="008604BF"/>
    <w:rsid w:val="00860FCF"/>
    <w:rsid w:val="00862127"/>
    <w:rsid w:val="00862E3A"/>
    <w:rsid w:val="00863475"/>
    <w:rsid w:val="00863E05"/>
    <w:rsid w:val="00864295"/>
    <w:rsid w:val="00866168"/>
    <w:rsid w:val="00871B53"/>
    <w:rsid w:val="00874FB8"/>
    <w:rsid w:val="00877CAF"/>
    <w:rsid w:val="008828F4"/>
    <w:rsid w:val="008834DB"/>
    <w:rsid w:val="00883F18"/>
    <w:rsid w:val="00884D13"/>
    <w:rsid w:val="00885E1A"/>
    <w:rsid w:val="008867BC"/>
    <w:rsid w:val="00886ABB"/>
    <w:rsid w:val="008870D6"/>
    <w:rsid w:val="00887139"/>
    <w:rsid w:val="008873E5"/>
    <w:rsid w:val="00887960"/>
    <w:rsid w:val="008909C3"/>
    <w:rsid w:val="008934DE"/>
    <w:rsid w:val="00896980"/>
    <w:rsid w:val="00897392"/>
    <w:rsid w:val="008975CC"/>
    <w:rsid w:val="0089766D"/>
    <w:rsid w:val="008A40DE"/>
    <w:rsid w:val="008A5552"/>
    <w:rsid w:val="008A60D3"/>
    <w:rsid w:val="008A7099"/>
    <w:rsid w:val="008A7FD3"/>
    <w:rsid w:val="008B0E60"/>
    <w:rsid w:val="008B16AB"/>
    <w:rsid w:val="008B28EC"/>
    <w:rsid w:val="008B2980"/>
    <w:rsid w:val="008B3B97"/>
    <w:rsid w:val="008C1817"/>
    <w:rsid w:val="008C2227"/>
    <w:rsid w:val="008C23A6"/>
    <w:rsid w:val="008C2EC5"/>
    <w:rsid w:val="008C2ED8"/>
    <w:rsid w:val="008C30D6"/>
    <w:rsid w:val="008C3DA3"/>
    <w:rsid w:val="008C6BB8"/>
    <w:rsid w:val="008C7895"/>
    <w:rsid w:val="008C7B78"/>
    <w:rsid w:val="008D1B30"/>
    <w:rsid w:val="008D5DC1"/>
    <w:rsid w:val="008E1458"/>
    <w:rsid w:val="008E4756"/>
    <w:rsid w:val="008E65D3"/>
    <w:rsid w:val="008E71AA"/>
    <w:rsid w:val="008F2F1F"/>
    <w:rsid w:val="008F3202"/>
    <w:rsid w:val="008F5419"/>
    <w:rsid w:val="008F71D2"/>
    <w:rsid w:val="00902AA5"/>
    <w:rsid w:val="00904AE4"/>
    <w:rsid w:val="00906262"/>
    <w:rsid w:val="00910234"/>
    <w:rsid w:val="009124E9"/>
    <w:rsid w:val="009136FD"/>
    <w:rsid w:val="00914D47"/>
    <w:rsid w:val="00914F27"/>
    <w:rsid w:val="009151B7"/>
    <w:rsid w:val="009153B2"/>
    <w:rsid w:val="0091605D"/>
    <w:rsid w:val="00921AC3"/>
    <w:rsid w:val="009221A6"/>
    <w:rsid w:val="00922B08"/>
    <w:rsid w:val="009255D2"/>
    <w:rsid w:val="0092575C"/>
    <w:rsid w:val="00930169"/>
    <w:rsid w:val="0093022E"/>
    <w:rsid w:val="009304AB"/>
    <w:rsid w:val="00930759"/>
    <w:rsid w:val="00933991"/>
    <w:rsid w:val="00934B77"/>
    <w:rsid w:val="00935352"/>
    <w:rsid w:val="0093589C"/>
    <w:rsid w:val="00936CF4"/>
    <w:rsid w:val="0094325D"/>
    <w:rsid w:val="009444A6"/>
    <w:rsid w:val="0094503B"/>
    <w:rsid w:val="00945330"/>
    <w:rsid w:val="00946AA5"/>
    <w:rsid w:val="00952891"/>
    <w:rsid w:val="00952900"/>
    <w:rsid w:val="00955589"/>
    <w:rsid w:val="0095657D"/>
    <w:rsid w:val="00956AC1"/>
    <w:rsid w:val="00957165"/>
    <w:rsid w:val="009632B8"/>
    <w:rsid w:val="00963314"/>
    <w:rsid w:val="009639A0"/>
    <w:rsid w:val="009639DF"/>
    <w:rsid w:val="00964576"/>
    <w:rsid w:val="00965284"/>
    <w:rsid w:val="0096731E"/>
    <w:rsid w:val="00970850"/>
    <w:rsid w:val="00972C00"/>
    <w:rsid w:val="00973146"/>
    <w:rsid w:val="0097524F"/>
    <w:rsid w:val="009760C4"/>
    <w:rsid w:val="00976496"/>
    <w:rsid w:val="009776A4"/>
    <w:rsid w:val="00981252"/>
    <w:rsid w:val="0098221C"/>
    <w:rsid w:val="009831BB"/>
    <w:rsid w:val="009864EE"/>
    <w:rsid w:val="00986E4B"/>
    <w:rsid w:val="0098769C"/>
    <w:rsid w:val="00987A0C"/>
    <w:rsid w:val="00992E7B"/>
    <w:rsid w:val="00995619"/>
    <w:rsid w:val="00997D1B"/>
    <w:rsid w:val="009A1A6E"/>
    <w:rsid w:val="009A3E0B"/>
    <w:rsid w:val="009A7DF8"/>
    <w:rsid w:val="009B0461"/>
    <w:rsid w:val="009B089F"/>
    <w:rsid w:val="009B2ADA"/>
    <w:rsid w:val="009B503E"/>
    <w:rsid w:val="009B68E4"/>
    <w:rsid w:val="009C0E74"/>
    <w:rsid w:val="009C23C0"/>
    <w:rsid w:val="009C3556"/>
    <w:rsid w:val="009C7F40"/>
    <w:rsid w:val="009D4097"/>
    <w:rsid w:val="009D54C4"/>
    <w:rsid w:val="009D5B12"/>
    <w:rsid w:val="009D6DE5"/>
    <w:rsid w:val="009E0164"/>
    <w:rsid w:val="009E08EC"/>
    <w:rsid w:val="009E1A24"/>
    <w:rsid w:val="009E2916"/>
    <w:rsid w:val="009E3894"/>
    <w:rsid w:val="009E4C2B"/>
    <w:rsid w:val="009E61AC"/>
    <w:rsid w:val="009F2830"/>
    <w:rsid w:val="009F2E69"/>
    <w:rsid w:val="009F63B8"/>
    <w:rsid w:val="00A01E43"/>
    <w:rsid w:val="00A02B9C"/>
    <w:rsid w:val="00A05540"/>
    <w:rsid w:val="00A07043"/>
    <w:rsid w:val="00A112CE"/>
    <w:rsid w:val="00A11C58"/>
    <w:rsid w:val="00A124D2"/>
    <w:rsid w:val="00A12AE1"/>
    <w:rsid w:val="00A137AC"/>
    <w:rsid w:val="00A1499C"/>
    <w:rsid w:val="00A21368"/>
    <w:rsid w:val="00A220A5"/>
    <w:rsid w:val="00A235E6"/>
    <w:rsid w:val="00A264FB"/>
    <w:rsid w:val="00A266AA"/>
    <w:rsid w:val="00A26848"/>
    <w:rsid w:val="00A26BF6"/>
    <w:rsid w:val="00A31526"/>
    <w:rsid w:val="00A316E3"/>
    <w:rsid w:val="00A334F2"/>
    <w:rsid w:val="00A348AD"/>
    <w:rsid w:val="00A348DF"/>
    <w:rsid w:val="00A3765A"/>
    <w:rsid w:val="00A40E03"/>
    <w:rsid w:val="00A4171C"/>
    <w:rsid w:val="00A41F4E"/>
    <w:rsid w:val="00A42420"/>
    <w:rsid w:val="00A44D43"/>
    <w:rsid w:val="00A47782"/>
    <w:rsid w:val="00A50CD4"/>
    <w:rsid w:val="00A51C2E"/>
    <w:rsid w:val="00A520BC"/>
    <w:rsid w:val="00A54004"/>
    <w:rsid w:val="00A56B00"/>
    <w:rsid w:val="00A56B6D"/>
    <w:rsid w:val="00A56ECE"/>
    <w:rsid w:val="00A605C5"/>
    <w:rsid w:val="00A60C29"/>
    <w:rsid w:val="00A611E3"/>
    <w:rsid w:val="00A71311"/>
    <w:rsid w:val="00A729BB"/>
    <w:rsid w:val="00A81553"/>
    <w:rsid w:val="00A81CFA"/>
    <w:rsid w:val="00A86C96"/>
    <w:rsid w:val="00A9151D"/>
    <w:rsid w:val="00A92C04"/>
    <w:rsid w:val="00A96544"/>
    <w:rsid w:val="00A96D4F"/>
    <w:rsid w:val="00A9761B"/>
    <w:rsid w:val="00AA0AD5"/>
    <w:rsid w:val="00AA0C42"/>
    <w:rsid w:val="00AA23B3"/>
    <w:rsid w:val="00AA308B"/>
    <w:rsid w:val="00AA3451"/>
    <w:rsid w:val="00AA4A82"/>
    <w:rsid w:val="00AA4B88"/>
    <w:rsid w:val="00AB00D8"/>
    <w:rsid w:val="00AB0EC3"/>
    <w:rsid w:val="00AB29BB"/>
    <w:rsid w:val="00AB3B18"/>
    <w:rsid w:val="00AB505D"/>
    <w:rsid w:val="00AC03F7"/>
    <w:rsid w:val="00AC15B3"/>
    <w:rsid w:val="00AC18F2"/>
    <w:rsid w:val="00AC400F"/>
    <w:rsid w:val="00AC41CE"/>
    <w:rsid w:val="00AC4419"/>
    <w:rsid w:val="00AC4791"/>
    <w:rsid w:val="00AC5057"/>
    <w:rsid w:val="00AC579D"/>
    <w:rsid w:val="00AD03C2"/>
    <w:rsid w:val="00AD1486"/>
    <w:rsid w:val="00AD1D96"/>
    <w:rsid w:val="00AD34A7"/>
    <w:rsid w:val="00AD458E"/>
    <w:rsid w:val="00AD5FF1"/>
    <w:rsid w:val="00AE1068"/>
    <w:rsid w:val="00AE1907"/>
    <w:rsid w:val="00AE19E8"/>
    <w:rsid w:val="00AE1F17"/>
    <w:rsid w:val="00AE23BA"/>
    <w:rsid w:val="00AE390B"/>
    <w:rsid w:val="00AF138E"/>
    <w:rsid w:val="00AF1B7B"/>
    <w:rsid w:val="00AF2CE7"/>
    <w:rsid w:val="00AF586C"/>
    <w:rsid w:val="00AF5BB3"/>
    <w:rsid w:val="00B05170"/>
    <w:rsid w:val="00B10FBF"/>
    <w:rsid w:val="00B1299C"/>
    <w:rsid w:val="00B130C9"/>
    <w:rsid w:val="00B13249"/>
    <w:rsid w:val="00B145E9"/>
    <w:rsid w:val="00B148A5"/>
    <w:rsid w:val="00B20D9F"/>
    <w:rsid w:val="00B22F9D"/>
    <w:rsid w:val="00B23D53"/>
    <w:rsid w:val="00B25AE0"/>
    <w:rsid w:val="00B26E1C"/>
    <w:rsid w:val="00B27D5F"/>
    <w:rsid w:val="00B311B3"/>
    <w:rsid w:val="00B3161F"/>
    <w:rsid w:val="00B31AF2"/>
    <w:rsid w:val="00B33020"/>
    <w:rsid w:val="00B3451D"/>
    <w:rsid w:val="00B349A0"/>
    <w:rsid w:val="00B3726B"/>
    <w:rsid w:val="00B3746F"/>
    <w:rsid w:val="00B374F0"/>
    <w:rsid w:val="00B416FD"/>
    <w:rsid w:val="00B41737"/>
    <w:rsid w:val="00B43EA8"/>
    <w:rsid w:val="00B452BE"/>
    <w:rsid w:val="00B46939"/>
    <w:rsid w:val="00B51962"/>
    <w:rsid w:val="00B52F6C"/>
    <w:rsid w:val="00B53E4C"/>
    <w:rsid w:val="00B5480C"/>
    <w:rsid w:val="00B55185"/>
    <w:rsid w:val="00B554E3"/>
    <w:rsid w:val="00B55780"/>
    <w:rsid w:val="00B670CE"/>
    <w:rsid w:val="00B7166C"/>
    <w:rsid w:val="00B766AE"/>
    <w:rsid w:val="00B77D34"/>
    <w:rsid w:val="00B829F7"/>
    <w:rsid w:val="00B86FE1"/>
    <w:rsid w:val="00B9242D"/>
    <w:rsid w:val="00B92E3E"/>
    <w:rsid w:val="00B93207"/>
    <w:rsid w:val="00B93753"/>
    <w:rsid w:val="00BA444E"/>
    <w:rsid w:val="00BA47AE"/>
    <w:rsid w:val="00BA4B29"/>
    <w:rsid w:val="00BB1908"/>
    <w:rsid w:val="00BB3758"/>
    <w:rsid w:val="00BB4237"/>
    <w:rsid w:val="00BB4244"/>
    <w:rsid w:val="00BB5376"/>
    <w:rsid w:val="00BB669F"/>
    <w:rsid w:val="00BC4D61"/>
    <w:rsid w:val="00BC6CEB"/>
    <w:rsid w:val="00BC7094"/>
    <w:rsid w:val="00BC78D5"/>
    <w:rsid w:val="00BD195D"/>
    <w:rsid w:val="00BD7180"/>
    <w:rsid w:val="00BE1D8F"/>
    <w:rsid w:val="00BE7D32"/>
    <w:rsid w:val="00BE7DCC"/>
    <w:rsid w:val="00BF0966"/>
    <w:rsid w:val="00BF2B0A"/>
    <w:rsid w:val="00BF2CF9"/>
    <w:rsid w:val="00BF4892"/>
    <w:rsid w:val="00BF6EB7"/>
    <w:rsid w:val="00BF7C6E"/>
    <w:rsid w:val="00C0049F"/>
    <w:rsid w:val="00C0067F"/>
    <w:rsid w:val="00C0514A"/>
    <w:rsid w:val="00C079C5"/>
    <w:rsid w:val="00C15367"/>
    <w:rsid w:val="00C16AC2"/>
    <w:rsid w:val="00C170F9"/>
    <w:rsid w:val="00C176E4"/>
    <w:rsid w:val="00C179EE"/>
    <w:rsid w:val="00C17D6B"/>
    <w:rsid w:val="00C200B7"/>
    <w:rsid w:val="00C22C62"/>
    <w:rsid w:val="00C23A2E"/>
    <w:rsid w:val="00C240DD"/>
    <w:rsid w:val="00C268C0"/>
    <w:rsid w:val="00C3134E"/>
    <w:rsid w:val="00C32664"/>
    <w:rsid w:val="00C34E45"/>
    <w:rsid w:val="00C40444"/>
    <w:rsid w:val="00C40EA5"/>
    <w:rsid w:val="00C40F04"/>
    <w:rsid w:val="00C4180A"/>
    <w:rsid w:val="00C41C06"/>
    <w:rsid w:val="00C44AD0"/>
    <w:rsid w:val="00C459A0"/>
    <w:rsid w:val="00C462F8"/>
    <w:rsid w:val="00C46BD2"/>
    <w:rsid w:val="00C46CE0"/>
    <w:rsid w:val="00C52DC5"/>
    <w:rsid w:val="00C5377E"/>
    <w:rsid w:val="00C5382D"/>
    <w:rsid w:val="00C56605"/>
    <w:rsid w:val="00C61503"/>
    <w:rsid w:val="00C62052"/>
    <w:rsid w:val="00C63D64"/>
    <w:rsid w:val="00C63E61"/>
    <w:rsid w:val="00C6478E"/>
    <w:rsid w:val="00C649BF"/>
    <w:rsid w:val="00C65483"/>
    <w:rsid w:val="00C70D90"/>
    <w:rsid w:val="00C71297"/>
    <w:rsid w:val="00C74515"/>
    <w:rsid w:val="00C7498F"/>
    <w:rsid w:val="00C76234"/>
    <w:rsid w:val="00C841E2"/>
    <w:rsid w:val="00C842F8"/>
    <w:rsid w:val="00C8501B"/>
    <w:rsid w:val="00C874AA"/>
    <w:rsid w:val="00C90611"/>
    <w:rsid w:val="00C931EF"/>
    <w:rsid w:val="00C94580"/>
    <w:rsid w:val="00C96E92"/>
    <w:rsid w:val="00C9707A"/>
    <w:rsid w:val="00C972E2"/>
    <w:rsid w:val="00CA2867"/>
    <w:rsid w:val="00CA3F91"/>
    <w:rsid w:val="00CA70A3"/>
    <w:rsid w:val="00CB09AF"/>
    <w:rsid w:val="00CB5D07"/>
    <w:rsid w:val="00CB61A7"/>
    <w:rsid w:val="00CB6730"/>
    <w:rsid w:val="00CB6896"/>
    <w:rsid w:val="00CB6919"/>
    <w:rsid w:val="00CB7AB5"/>
    <w:rsid w:val="00CC0426"/>
    <w:rsid w:val="00CC0858"/>
    <w:rsid w:val="00CC23C1"/>
    <w:rsid w:val="00CC2895"/>
    <w:rsid w:val="00CC33F9"/>
    <w:rsid w:val="00CC464F"/>
    <w:rsid w:val="00CC4A61"/>
    <w:rsid w:val="00CC7A9B"/>
    <w:rsid w:val="00CD3F95"/>
    <w:rsid w:val="00CE0247"/>
    <w:rsid w:val="00CE128F"/>
    <w:rsid w:val="00CE3601"/>
    <w:rsid w:val="00CE4DB3"/>
    <w:rsid w:val="00CE6FF2"/>
    <w:rsid w:val="00CF05AE"/>
    <w:rsid w:val="00CF11AA"/>
    <w:rsid w:val="00CF25B6"/>
    <w:rsid w:val="00CF29BE"/>
    <w:rsid w:val="00CF478A"/>
    <w:rsid w:val="00CF4C65"/>
    <w:rsid w:val="00CF627A"/>
    <w:rsid w:val="00CF6409"/>
    <w:rsid w:val="00CF6CCC"/>
    <w:rsid w:val="00D01350"/>
    <w:rsid w:val="00D03DA3"/>
    <w:rsid w:val="00D04118"/>
    <w:rsid w:val="00D05107"/>
    <w:rsid w:val="00D05BE8"/>
    <w:rsid w:val="00D06142"/>
    <w:rsid w:val="00D0682A"/>
    <w:rsid w:val="00D11DDF"/>
    <w:rsid w:val="00D15F81"/>
    <w:rsid w:val="00D21565"/>
    <w:rsid w:val="00D21C96"/>
    <w:rsid w:val="00D26300"/>
    <w:rsid w:val="00D27D72"/>
    <w:rsid w:val="00D3181A"/>
    <w:rsid w:val="00D32329"/>
    <w:rsid w:val="00D331CE"/>
    <w:rsid w:val="00D33357"/>
    <w:rsid w:val="00D334FB"/>
    <w:rsid w:val="00D33602"/>
    <w:rsid w:val="00D36E2D"/>
    <w:rsid w:val="00D371D8"/>
    <w:rsid w:val="00D37548"/>
    <w:rsid w:val="00D4103F"/>
    <w:rsid w:val="00D43CB2"/>
    <w:rsid w:val="00D50AD8"/>
    <w:rsid w:val="00D52499"/>
    <w:rsid w:val="00D54533"/>
    <w:rsid w:val="00D55BCF"/>
    <w:rsid w:val="00D61C23"/>
    <w:rsid w:val="00D62536"/>
    <w:rsid w:val="00D64926"/>
    <w:rsid w:val="00D65522"/>
    <w:rsid w:val="00D65B49"/>
    <w:rsid w:val="00D716C6"/>
    <w:rsid w:val="00D72450"/>
    <w:rsid w:val="00D7281C"/>
    <w:rsid w:val="00D75330"/>
    <w:rsid w:val="00D76D99"/>
    <w:rsid w:val="00D81E1E"/>
    <w:rsid w:val="00D8235C"/>
    <w:rsid w:val="00D84E76"/>
    <w:rsid w:val="00D8628C"/>
    <w:rsid w:val="00D90592"/>
    <w:rsid w:val="00D91BF1"/>
    <w:rsid w:val="00D929DA"/>
    <w:rsid w:val="00D92D25"/>
    <w:rsid w:val="00D9338E"/>
    <w:rsid w:val="00D94E4C"/>
    <w:rsid w:val="00D95922"/>
    <w:rsid w:val="00D9762F"/>
    <w:rsid w:val="00DA0001"/>
    <w:rsid w:val="00DA3DA3"/>
    <w:rsid w:val="00DA54C1"/>
    <w:rsid w:val="00DA58F0"/>
    <w:rsid w:val="00DA6CD1"/>
    <w:rsid w:val="00DA7284"/>
    <w:rsid w:val="00DA7F26"/>
    <w:rsid w:val="00DB2CC3"/>
    <w:rsid w:val="00DB455E"/>
    <w:rsid w:val="00DB5B57"/>
    <w:rsid w:val="00DB6C8B"/>
    <w:rsid w:val="00DB7B8E"/>
    <w:rsid w:val="00DB7CB0"/>
    <w:rsid w:val="00DC0E98"/>
    <w:rsid w:val="00DC138E"/>
    <w:rsid w:val="00DC173A"/>
    <w:rsid w:val="00DC2573"/>
    <w:rsid w:val="00DC3C5E"/>
    <w:rsid w:val="00DC6057"/>
    <w:rsid w:val="00DC6CBC"/>
    <w:rsid w:val="00DD1D22"/>
    <w:rsid w:val="00DD2035"/>
    <w:rsid w:val="00DD4FDF"/>
    <w:rsid w:val="00DE01AB"/>
    <w:rsid w:val="00DE1C59"/>
    <w:rsid w:val="00DE239A"/>
    <w:rsid w:val="00DE2ABF"/>
    <w:rsid w:val="00DE2BF2"/>
    <w:rsid w:val="00DE4CAA"/>
    <w:rsid w:val="00DE5AB3"/>
    <w:rsid w:val="00DE5CCA"/>
    <w:rsid w:val="00DF218A"/>
    <w:rsid w:val="00DF447D"/>
    <w:rsid w:val="00DF4E33"/>
    <w:rsid w:val="00DF5888"/>
    <w:rsid w:val="00DF6E95"/>
    <w:rsid w:val="00E004DB"/>
    <w:rsid w:val="00E01C03"/>
    <w:rsid w:val="00E03932"/>
    <w:rsid w:val="00E03BCA"/>
    <w:rsid w:val="00E03BF7"/>
    <w:rsid w:val="00E04147"/>
    <w:rsid w:val="00E05F57"/>
    <w:rsid w:val="00E06B77"/>
    <w:rsid w:val="00E07EA3"/>
    <w:rsid w:val="00E1031A"/>
    <w:rsid w:val="00E10EE6"/>
    <w:rsid w:val="00E11945"/>
    <w:rsid w:val="00E123D2"/>
    <w:rsid w:val="00E13760"/>
    <w:rsid w:val="00E16D3E"/>
    <w:rsid w:val="00E2090A"/>
    <w:rsid w:val="00E21F92"/>
    <w:rsid w:val="00E22437"/>
    <w:rsid w:val="00E235F9"/>
    <w:rsid w:val="00E25A43"/>
    <w:rsid w:val="00E26B30"/>
    <w:rsid w:val="00E279E2"/>
    <w:rsid w:val="00E41107"/>
    <w:rsid w:val="00E424F5"/>
    <w:rsid w:val="00E44F1F"/>
    <w:rsid w:val="00E45D08"/>
    <w:rsid w:val="00E46BC7"/>
    <w:rsid w:val="00E47147"/>
    <w:rsid w:val="00E4734C"/>
    <w:rsid w:val="00E47546"/>
    <w:rsid w:val="00E540F6"/>
    <w:rsid w:val="00E54EAB"/>
    <w:rsid w:val="00E5634B"/>
    <w:rsid w:val="00E56B1B"/>
    <w:rsid w:val="00E57D89"/>
    <w:rsid w:val="00E60A8C"/>
    <w:rsid w:val="00E61AD0"/>
    <w:rsid w:val="00E61DA5"/>
    <w:rsid w:val="00E61EA7"/>
    <w:rsid w:val="00E6250A"/>
    <w:rsid w:val="00E62BCE"/>
    <w:rsid w:val="00E64773"/>
    <w:rsid w:val="00E65CF9"/>
    <w:rsid w:val="00E70CA3"/>
    <w:rsid w:val="00E724AE"/>
    <w:rsid w:val="00E758CE"/>
    <w:rsid w:val="00E762A5"/>
    <w:rsid w:val="00E817FB"/>
    <w:rsid w:val="00E84253"/>
    <w:rsid w:val="00E8627E"/>
    <w:rsid w:val="00E8696D"/>
    <w:rsid w:val="00E87A77"/>
    <w:rsid w:val="00E90605"/>
    <w:rsid w:val="00E90735"/>
    <w:rsid w:val="00E90A2C"/>
    <w:rsid w:val="00E956AA"/>
    <w:rsid w:val="00E9587D"/>
    <w:rsid w:val="00E964D1"/>
    <w:rsid w:val="00E9708D"/>
    <w:rsid w:val="00EA18C7"/>
    <w:rsid w:val="00EA1F0E"/>
    <w:rsid w:val="00EA2F97"/>
    <w:rsid w:val="00EA310E"/>
    <w:rsid w:val="00EA31EF"/>
    <w:rsid w:val="00EA3FC0"/>
    <w:rsid w:val="00EB0FC8"/>
    <w:rsid w:val="00EB240D"/>
    <w:rsid w:val="00EB3E6D"/>
    <w:rsid w:val="00EB493D"/>
    <w:rsid w:val="00EB67CC"/>
    <w:rsid w:val="00EB6DDD"/>
    <w:rsid w:val="00EB7F3B"/>
    <w:rsid w:val="00EC0078"/>
    <w:rsid w:val="00EC0B2F"/>
    <w:rsid w:val="00EC2381"/>
    <w:rsid w:val="00EC27B0"/>
    <w:rsid w:val="00EC35C4"/>
    <w:rsid w:val="00ED1EB8"/>
    <w:rsid w:val="00ED3BBE"/>
    <w:rsid w:val="00ED4A4D"/>
    <w:rsid w:val="00ED5307"/>
    <w:rsid w:val="00ED5845"/>
    <w:rsid w:val="00ED5A4D"/>
    <w:rsid w:val="00ED7472"/>
    <w:rsid w:val="00ED7A2B"/>
    <w:rsid w:val="00EE302F"/>
    <w:rsid w:val="00EE304A"/>
    <w:rsid w:val="00EE316D"/>
    <w:rsid w:val="00EE5284"/>
    <w:rsid w:val="00EE6F1A"/>
    <w:rsid w:val="00EE73EF"/>
    <w:rsid w:val="00EE7DD8"/>
    <w:rsid w:val="00EE7EAD"/>
    <w:rsid w:val="00EF366A"/>
    <w:rsid w:val="00EF4D6C"/>
    <w:rsid w:val="00EF5418"/>
    <w:rsid w:val="00EF5969"/>
    <w:rsid w:val="00EF6337"/>
    <w:rsid w:val="00EF686F"/>
    <w:rsid w:val="00F016E5"/>
    <w:rsid w:val="00F048D6"/>
    <w:rsid w:val="00F04AD3"/>
    <w:rsid w:val="00F04F46"/>
    <w:rsid w:val="00F073CA"/>
    <w:rsid w:val="00F0746E"/>
    <w:rsid w:val="00F07509"/>
    <w:rsid w:val="00F12C76"/>
    <w:rsid w:val="00F13B2C"/>
    <w:rsid w:val="00F14858"/>
    <w:rsid w:val="00F14867"/>
    <w:rsid w:val="00F14C6F"/>
    <w:rsid w:val="00F15E85"/>
    <w:rsid w:val="00F170AB"/>
    <w:rsid w:val="00F17625"/>
    <w:rsid w:val="00F2002F"/>
    <w:rsid w:val="00F206B0"/>
    <w:rsid w:val="00F2076F"/>
    <w:rsid w:val="00F216C4"/>
    <w:rsid w:val="00F22A8B"/>
    <w:rsid w:val="00F24B87"/>
    <w:rsid w:val="00F3321D"/>
    <w:rsid w:val="00F33425"/>
    <w:rsid w:val="00F33A1A"/>
    <w:rsid w:val="00F34391"/>
    <w:rsid w:val="00F3792D"/>
    <w:rsid w:val="00F40975"/>
    <w:rsid w:val="00F4256D"/>
    <w:rsid w:val="00F4266B"/>
    <w:rsid w:val="00F42F2E"/>
    <w:rsid w:val="00F46664"/>
    <w:rsid w:val="00F5060B"/>
    <w:rsid w:val="00F52465"/>
    <w:rsid w:val="00F53BE4"/>
    <w:rsid w:val="00F551DC"/>
    <w:rsid w:val="00F561D2"/>
    <w:rsid w:val="00F605C1"/>
    <w:rsid w:val="00F619CA"/>
    <w:rsid w:val="00F61F64"/>
    <w:rsid w:val="00F62995"/>
    <w:rsid w:val="00F638C0"/>
    <w:rsid w:val="00F663E4"/>
    <w:rsid w:val="00F74D83"/>
    <w:rsid w:val="00F77B1D"/>
    <w:rsid w:val="00F80205"/>
    <w:rsid w:val="00F8155F"/>
    <w:rsid w:val="00F82EC5"/>
    <w:rsid w:val="00F83F4C"/>
    <w:rsid w:val="00F850BB"/>
    <w:rsid w:val="00F87C89"/>
    <w:rsid w:val="00F911CE"/>
    <w:rsid w:val="00F92410"/>
    <w:rsid w:val="00F95773"/>
    <w:rsid w:val="00F96052"/>
    <w:rsid w:val="00FA0F72"/>
    <w:rsid w:val="00FA18F2"/>
    <w:rsid w:val="00FA28AA"/>
    <w:rsid w:val="00FA3AF0"/>
    <w:rsid w:val="00FA502D"/>
    <w:rsid w:val="00FA5B32"/>
    <w:rsid w:val="00FB2F15"/>
    <w:rsid w:val="00FB3025"/>
    <w:rsid w:val="00FB3EC2"/>
    <w:rsid w:val="00FB5D61"/>
    <w:rsid w:val="00FB71D6"/>
    <w:rsid w:val="00FB7564"/>
    <w:rsid w:val="00FB7CAB"/>
    <w:rsid w:val="00FC0103"/>
    <w:rsid w:val="00FC0791"/>
    <w:rsid w:val="00FC137D"/>
    <w:rsid w:val="00FC32A6"/>
    <w:rsid w:val="00FC5825"/>
    <w:rsid w:val="00FC622B"/>
    <w:rsid w:val="00FC6D75"/>
    <w:rsid w:val="00FC7A6D"/>
    <w:rsid w:val="00FD000B"/>
    <w:rsid w:val="00FD04E2"/>
    <w:rsid w:val="00FD4282"/>
    <w:rsid w:val="00FD7919"/>
    <w:rsid w:val="00FD7A91"/>
    <w:rsid w:val="00FE1B0F"/>
    <w:rsid w:val="00FE3E3E"/>
    <w:rsid w:val="00FE4306"/>
    <w:rsid w:val="00FE59F5"/>
    <w:rsid w:val="00FE6FF3"/>
    <w:rsid w:val="00FE752F"/>
    <w:rsid w:val="00FE79B8"/>
    <w:rsid w:val="00FF110E"/>
    <w:rsid w:val="00FF71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9648"/>
  <w15:chartTrackingRefBased/>
  <w15:docId w15:val="{ACBC3F38-E1FA-A34A-8B98-64F07D23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8D6"/>
    <w:pPr>
      <w:spacing w:after="0" w:line="240" w:lineRule="auto"/>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1C15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qFormat/>
    <w:rsid w:val="00E10EE6"/>
    <w:pPr>
      <w:spacing w:before="100" w:beforeAutospacing="1" w:after="100" w:afterAutospacing="1"/>
      <w:outlineLvl w:val="1"/>
    </w:pPr>
    <w:rPr>
      <w:b/>
      <w:bCs/>
      <w:sz w:val="36"/>
      <w:szCs w:val="3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EF686F"/>
    <w:rPr>
      <w:color w:val="0000FF"/>
      <w:u w:val="single"/>
    </w:rPr>
  </w:style>
  <w:style w:type="paragraph" w:styleId="ListeParagraf">
    <w:name w:val="List Paragraph"/>
    <w:basedOn w:val="Normal"/>
    <w:uiPriority w:val="34"/>
    <w:qFormat/>
    <w:rsid w:val="00EF686F"/>
    <w:pPr>
      <w:ind w:left="720"/>
      <w:contextualSpacing/>
    </w:pPr>
    <w:rPr>
      <w:lang w:val="en-US"/>
    </w:rPr>
  </w:style>
  <w:style w:type="paragraph" w:customStyle="1" w:styleId="default">
    <w:name w:val="default"/>
    <w:basedOn w:val="Normal"/>
    <w:rsid w:val="00EF686F"/>
    <w:pPr>
      <w:spacing w:before="100" w:beforeAutospacing="1" w:after="100" w:afterAutospacing="1"/>
    </w:pPr>
    <w:rPr>
      <w:lang w:eastAsia="tr-TR"/>
    </w:rPr>
  </w:style>
  <w:style w:type="character" w:styleId="Gl">
    <w:name w:val="Strong"/>
    <w:basedOn w:val="VarsaylanParagrafYazTipi"/>
    <w:uiPriority w:val="22"/>
    <w:qFormat/>
    <w:rsid w:val="00641A17"/>
    <w:rPr>
      <w:b/>
      <w:bCs/>
    </w:rPr>
  </w:style>
  <w:style w:type="character" w:styleId="AklamaBavurusu">
    <w:name w:val="annotation reference"/>
    <w:basedOn w:val="VarsaylanParagrafYazTipi"/>
    <w:uiPriority w:val="99"/>
    <w:semiHidden/>
    <w:unhideWhenUsed/>
    <w:rsid w:val="00691CEA"/>
    <w:rPr>
      <w:sz w:val="16"/>
      <w:szCs w:val="16"/>
    </w:rPr>
  </w:style>
  <w:style w:type="paragraph" w:styleId="AklamaMetni">
    <w:name w:val="annotation text"/>
    <w:basedOn w:val="Normal"/>
    <w:link w:val="AklamaMetniChar"/>
    <w:uiPriority w:val="99"/>
    <w:semiHidden/>
    <w:unhideWhenUsed/>
    <w:rsid w:val="00691CEA"/>
    <w:pPr>
      <w:suppressAutoHyphens/>
    </w:pPr>
    <w:rPr>
      <w:sz w:val="20"/>
      <w:szCs w:val="20"/>
      <w:lang w:val="en-AU" w:eastAsia="ar-SA"/>
    </w:rPr>
  </w:style>
  <w:style w:type="character" w:customStyle="1" w:styleId="AklamaMetniChar">
    <w:name w:val="Açıklama Metni Char"/>
    <w:basedOn w:val="VarsaylanParagrafYazTipi"/>
    <w:link w:val="AklamaMetni"/>
    <w:uiPriority w:val="99"/>
    <w:semiHidden/>
    <w:rsid w:val="00691CEA"/>
    <w:rPr>
      <w:rFonts w:ascii="Times New Roman" w:eastAsia="Times New Roman" w:hAnsi="Times New Roman" w:cs="Times New Roman"/>
      <w:sz w:val="20"/>
      <w:szCs w:val="20"/>
      <w:lang w:val="en-AU" w:eastAsia="ar-SA"/>
    </w:rPr>
  </w:style>
  <w:style w:type="paragraph" w:styleId="BalonMetni">
    <w:name w:val="Balloon Text"/>
    <w:basedOn w:val="Normal"/>
    <w:link w:val="BalonMetniChar"/>
    <w:uiPriority w:val="99"/>
    <w:semiHidden/>
    <w:unhideWhenUsed/>
    <w:rsid w:val="00691CE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1CEA"/>
    <w:rPr>
      <w:rFonts w:ascii="Segoe UI" w:hAnsi="Segoe UI" w:cs="Segoe UI"/>
      <w:sz w:val="18"/>
      <w:szCs w:val="18"/>
    </w:rPr>
  </w:style>
  <w:style w:type="character" w:customStyle="1" w:styleId="fontstyle01">
    <w:name w:val="fontstyle01"/>
    <w:basedOn w:val="VarsaylanParagrafYazTipi"/>
    <w:rsid w:val="00691CEA"/>
    <w:rPr>
      <w:rFonts w:ascii="Times New Roman" w:hAnsi="Times New Roman" w:cs="Times New Roman" w:hint="default"/>
      <w:b w:val="0"/>
      <w:bCs w:val="0"/>
      <w:i w:val="0"/>
      <w:iCs w:val="0"/>
      <w:color w:val="000000"/>
      <w:sz w:val="24"/>
      <w:szCs w:val="24"/>
    </w:rPr>
  </w:style>
  <w:style w:type="paragraph" w:styleId="stBilgi">
    <w:name w:val="header"/>
    <w:basedOn w:val="Normal"/>
    <w:link w:val="stBilgiChar"/>
    <w:uiPriority w:val="99"/>
    <w:unhideWhenUsed/>
    <w:rsid w:val="00BB3758"/>
    <w:pPr>
      <w:tabs>
        <w:tab w:val="center" w:pos="4536"/>
        <w:tab w:val="right" w:pos="9072"/>
      </w:tabs>
    </w:pPr>
  </w:style>
  <w:style w:type="character" w:customStyle="1" w:styleId="stBilgiChar">
    <w:name w:val="Üst Bilgi Char"/>
    <w:basedOn w:val="VarsaylanParagrafYazTipi"/>
    <w:link w:val="stBilgi"/>
    <w:uiPriority w:val="99"/>
    <w:rsid w:val="00BB3758"/>
  </w:style>
  <w:style w:type="paragraph" w:styleId="AltBilgi">
    <w:name w:val="footer"/>
    <w:basedOn w:val="Normal"/>
    <w:link w:val="AltBilgiChar"/>
    <w:uiPriority w:val="99"/>
    <w:unhideWhenUsed/>
    <w:rsid w:val="00BB3758"/>
    <w:pPr>
      <w:tabs>
        <w:tab w:val="center" w:pos="4536"/>
        <w:tab w:val="right" w:pos="9072"/>
      </w:tabs>
    </w:pPr>
  </w:style>
  <w:style w:type="character" w:customStyle="1" w:styleId="AltBilgiChar">
    <w:name w:val="Alt Bilgi Char"/>
    <w:basedOn w:val="VarsaylanParagrafYazTipi"/>
    <w:link w:val="AltBilgi"/>
    <w:uiPriority w:val="99"/>
    <w:rsid w:val="00BB3758"/>
  </w:style>
  <w:style w:type="paragraph" w:styleId="AklamaKonusu">
    <w:name w:val="annotation subject"/>
    <w:basedOn w:val="AklamaMetni"/>
    <w:next w:val="AklamaMetni"/>
    <w:link w:val="AklamaKonusuChar"/>
    <w:uiPriority w:val="99"/>
    <w:semiHidden/>
    <w:unhideWhenUsed/>
    <w:rsid w:val="009A1A6E"/>
    <w:pPr>
      <w:suppressAutoHyphens w:val="0"/>
      <w:spacing w:after="160"/>
    </w:pPr>
    <w:rPr>
      <w:rFonts w:asciiTheme="minorHAnsi" w:eastAsiaTheme="minorHAnsi" w:hAnsiTheme="minorHAnsi" w:cstheme="minorBidi"/>
      <w:b/>
      <w:bCs/>
      <w:lang w:val="tr-TR" w:eastAsia="en-US"/>
    </w:rPr>
  </w:style>
  <w:style w:type="character" w:customStyle="1" w:styleId="AklamaKonusuChar">
    <w:name w:val="Açıklama Konusu Char"/>
    <w:basedOn w:val="AklamaMetniChar"/>
    <w:link w:val="AklamaKonusu"/>
    <w:uiPriority w:val="99"/>
    <w:semiHidden/>
    <w:rsid w:val="009A1A6E"/>
    <w:rPr>
      <w:rFonts w:ascii="Times New Roman" w:eastAsia="Times New Roman" w:hAnsi="Times New Roman" w:cs="Times New Roman"/>
      <w:b/>
      <w:bCs/>
      <w:sz w:val="20"/>
      <w:szCs w:val="20"/>
      <w:lang w:val="en-AU" w:eastAsia="ar-SA"/>
    </w:rPr>
  </w:style>
  <w:style w:type="paragraph" w:customStyle="1" w:styleId="p1">
    <w:name w:val="p1"/>
    <w:basedOn w:val="Normal"/>
    <w:rsid w:val="00BF2CF9"/>
    <w:pPr>
      <w:spacing w:before="100" w:beforeAutospacing="1" w:after="100" w:afterAutospacing="1"/>
    </w:pPr>
    <w:rPr>
      <w:lang w:eastAsia="tr-TR"/>
    </w:rPr>
  </w:style>
  <w:style w:type="character" w:customStyle="1" w:styleId="s1">
    <w:name w:val="s1"/>
    <w:basedOn w:val="VarsaylanParagrafYazTipi"/>
    <w:rsid w:val="00BF2CF9"/>
  </w:style>
  <w:style w:type="table" w:styleId="KlavuzuTablo4-Vurgu5">
    <w:name w:val="Grid Table 4 Accent 5"/>
    <w:basedOn w:val="NormalTablo"/>
    <w:uiPriority w:val="49"/>
    <w:rsid w:val="003C297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Dzeltme">
    <w:name w:val="Revision"/>
    <w:hidden/>
    <w:uiPriority w:val="99"/>
    <w:semiHidden/>
    <w:rsid w:val="00C6478E"/>
    <w:pPr>
      <w:spacing w:after="0" w:line="240" w:lineRule="auto"/>
    </w:pPr>
  </w:style>
  <w:style w:type="paragraph" w:styleId="NormalWeb">
    <w:name w:val="Normal (Web)"/>
    <w:basedOn w:val="Normal"/>
    <w:uiPriority w:val="99"/>
    <w:unhideWhenUsed/>
    <w:rsid w:val="006E0D08"/>
    <w:pPr>
      <w:spacing w:before="100" w:beforeAutospacing="1" w:after="100" w:afterAutospacing="1"/>
    </w:pPr>
    <w:rPr>
      <w:lang w:val="en-US"/>
    </w:rPr>
  </w:style>
  <w:style w:type="character" w:customStyle="1" w:styleId="il">
    <w:name w:val="il"/>
    <w:basedOn w:val="VarsaylanParagrafYazTipi"/>
    <w:rsid w:val="00225D80"/>
  </w:style>
  <w:style w:type="table" w:styleId="KlavuzuTablo4">
    <w:name w:val="Grid Table 4"/>
    <w:basedOn w:val="NormalTablo"/>
    <w:uiPriority w:val="49"/>
    <w:rsid w:val="006F0F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k2Char">
    <w:name w:val="Başlık 2 Char"/>
    <w:basedOn w:val="VarsaylanParagrafYazTipi"/>
    <w:link w:val="Balk2"/>
    <w:uiPriority w:val="9"/>
    <w:rsid w:val="00E10EE6"/>
    <w:rPr>
      <w:rFonts w:ascii="Times New Roman" w:eastAsia="Times New Roman" w:hAnsi="Times New Roman" w:cs="Times New Roman"/>
      <w:b/>
      <w:bCs/>
      <w:sz w:val="36"/>
      <w:szCs w:val="36"/>
      <w:lang w:val="en-US"/>
    </w:rPr>
  </w:style>
  <w:style w:type="character" w:customStyle="1" w:styleId="UnresolvedMention1">
    <w:name w:val="Unresolved Mention1"/>
    <w:basedOn w:val="VarsaylanParagrafYazTipi"/>
    <w:uiPriority w:val="99"/>
    <w:semiHidden/>
    <w:unhideWhenUsed/>
    <w:rsid w:val="00701B2B"/>
    <w:rPr>
      <w:color w:val="605E5C"/>
      <w:shd w:val="clear" w:color="auto" w:fill="E1DFDD"/>
    </w:rPr>
  </w:style>
  <w:style w:type="character" w:styleId="zlenenKpr">
    <w:name w:val="FollowedHyperlink"/>
    <w:basedOn w:val="VarsaylanParagrafYazTipi"/>
    <w:uiPriority w:val="99"/>
    <w:semiHidden/>
    <w:unhideWhenUsed/>
    <w:rsid w:val="00F850BB"/>
    <w:rPr>
      <w:color w:val="954F72" w:themeColor="followedHyperlink"/>
      <w:u w:val="single"/>
    </w:rPr>
  </w:style>
  <w:style w:type="paragraph" w:styleId="HTMLncedenBiimlendirilmi">
    <w:name w:val="HTML Preformatted"/>
    <w:basedOn w:val="Normal"/>
    <w:link w:val="HTMLncedenBiimlendirilmiChar"/>
    <w:uiPriority w:val="99"/>
    <w:unhideWhenUsed/>
    <w:rsid w:val="0055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55031A"/>
    <w:rPr>
      <w:rFonts w:ascii="Courier New" w:eastAsia="Times New Roman" w:hAnsi="Courier New" w:cs="Courier New"/>
      <w:sz w:val="20"/>
      <w:szCs w:val="20"/>
      <w:lang w:eastAsia="tr-TR"/>
    </w:rPr>
  </w:style>
  <w:style w:type="character" w:customStyle="1" w:styleId="UnresolvedMention2">
    <w:name w:val="Unresolved Mention2"/>
    <w:basedOn w:val="VarsaylanParagrafYazTipi"/>
    <w:uiPriority w:val="99"/>
    <w:semiHidden/>
    <w:unhideWhenUsed/>
    <w:rsid w:val="002C5D17"/>
    <w:rPr>
      <w:color w:val="605E5C"/>
      <w:shd w:val="clear" w:color="auto" w:fill="E1DFDD"/>
    </w:rPr>
  </w:style>
  <w:style w:type="paragraph" w:customStyle="1" w:styleId="Default0">
    <w:name w:val="Default"/>
    <w:rsid w:val="002330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s23FB0664">
    <w:name w:val="cs23FB0664"/>
    <w:basedOn w:val="VarsaylanParagrafYazTipi"/>
    <w:rsid w:val="00317EC0"/>
    <w:rPr>
      <w:rFonts w:ascii="Times New Roman" w:eastAsia="Times New Roman" w:hAnsi="Times New Roman" w:cs="Times New Roman"/>
      <w:b w:val="0"/>
      <w:bCs w:val="0"/>
      <w:i w:val="0"/>
      <w:iCs w:val="0"/>
      <w:color w:val="000000"/>
      <w:sz w:val="24"/>
      <w:szCs w:val="24"/>
    </w:rPr>
  </w:style>
  <w:style w:type="character" w:styleId="Vurgu">
    <w:name w:val="Emphasis"/>
    <w:basedOn w:val="VarsaylanParagrafYazTipi"/>
    <w:uiPriority w:val="20"/>
    <w:qFormat/>
    <w:rsid w:val="007906E6"/>
    <w:rPr>
      <w:i/>
      <w:iCs/>
    </w:rPr>
  </w:style>
  <w:style w:type="character" w:styleId="zmlenmeyenBahsetme">
    <w:name w:val="Unresolved Mention"/>
    <w:basedOn w:val="VarsaylanParagrafYazTipi"/>
    <w:uiPriority w:val="99"/>
    <w:semiHidden/>
    <w:unhideWhenUsed/>
    <w:rsid w:val="002667D0"/>
    <w:rPr>
      <w:color w:val="605E5C"/>
      <w:shd w:val="clear" w:color="auto" w:fill="E1DFDD"/>
    </w:rPr>
  </w:style>
  <w:style w:type="character" w:customStyle="1" w:styleId="white-space-pre">
    <w:name w:val="white-space-pre"/>
    <w:basedOn w:val="VarsaylanParagrafYazTipi"/>
    <w:rsid w:val="00CE6FF2"/>
  </w:style>
  <w:style w:type="character" w:customStyle="1" w:styleId="Balk1Char">
    <w:name w:val="Başlık 1 Char"/>
    <w:basedOn w:val="VarsaylanParagrafYazTipi"/>
    <w:link w:val="Balk1"/>
    <w:uiPriority w:val="9"/>
    <w:rsid w:val="001C15F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8192">
      <w:bodyDiv w:val="1"/>
      <w:marLeft w:val="0"/>
      <w:marRight w:val="0"/>
      <w:marTop w:val="0"/>
      <w:marBottom w:val="0"/>
      <w:divBdr>
        <w:top w:val="none" w:sz="0" w:space="0" w:color="auto"/>
        <w:left w:val="none" w:sz="0" w:space="0" w:color="auto"/>
        <w:bottom w:val="none" w:sz="0" w:space="0" w:color="auto"/>
        <w:right w:val="none" w:sz="0" w:space="0" w:color="auto"/>
      </w:divBdr>
    </w:div>
    <w:div w:id="62264936">
      <w:bodyDiv w:val="1"/>
      <w:marLeft w:val="0"/>
      <w:marRight w:val="0"/>
      <w:marTop w:val="0"/>
      <w:marBottom w:val="0"/>
      <w:divBdr>
        <w:top w:val="none" w:sz="0" w:space="0" w:color="auto"/>
        <w:left w:val="none" w:sz="0" w:space="0" w:color="auto"/>
        <w:bottom w:val="none" w:sz="0" w:space="0" w:color="auto"/>
        <w:right w:val="none" w:sz="0" w:space="0" w:color="auto"/>
      </w:divBdr>
    </w:div>
    <w:div w:id="71397714">
      <w:bodyDiv w:val="1"/>
      <w:marLeft w:val="0"/>
      <w:marRight w:val="0"/>
      <w:marTop w:val="0"/>
      <w:marBottom w:val="0"/>
      <w:divBdr>
        <w:top w:val="none" w:sz="0" w:space="0" w:color="auto"/>
        <w:left w:val="none" w:sz="0" w:space="0" w:color="auto"/>
        <w:bottom w:val="none" w:sz="0" w:space="0" w:color="auto"/>
        <w:right w:val="none" w:sz="0" w:space="0" w:color="auto"/>
      </w:divBdr>
    </w:div>
    <w:div w:id="413403107">
      <w:bodyDiv w:val="1"/>
      <w:marLeft w:val="0"/>
      <w:marRight w:val="0"/>
      <w:marTop w:val="0"/>
      <w:marBottom w:val="0"/>
      <w:divBdr>
        <w:top w:val="none" w:sz="0" w:space="0" w:color="auto"/>
        <w:left w:val="none" w:sz="0" w:space="0" w:color="auto"/>
        <w:bottom w:val="none" w:sz="0" w:space="0" w:color="auto"/>
        <w:right w:val="none" w:sz="0" w:space="0" w:color="auto"/>
      </w:divBdr>
    </w:div>
    <w:div w:id="426270891">
      <w:bodyDiv w:val="1"/>
      <w:marLeft w:val="0"/>
      <w:marRight w:val="0"/>
      <w:marTop w:val="0"/>
      <w:marBottom w:val="0"/>
      <w:divBdr>
        <w:top w:val="none" w:sz="0" w:space="0" w:color="auto"/>
        <w:left w:val="none" w:sz="0" w:space="0" w:color="auto"/>
        <w:bottom w:val="none" w:sz="0" w:space="0" w:color="auto"/>
        <w:right w:val="none" w:sz="0" w:space="0" w:color="auto"/>
      </w:divBdr>
    </w:div>
    <w:div w:id="494997957">
      <w:bodyDiv w:val="1"/>
      <w:marLeft w:val="0"/>
      <w:marRight w:val="0"/>
      <w:marTop w:val="0"/>
      <w:marBottom w:val="0"/>
      <w:divBdr>
        <w:top w:val="none" w:sz="0" w:space="0" w:color="auto"/>
        <w:left w:val="none" w:sz="0" w:space="0" w:color="auto"/>
        <w:bottom w:val="none" w:sz="0" w:space="0" w:color="auto"/>
        <w:right w:val="none" w:sz="0" w:space="0" w:color="auto"/>
      </w:divBdr>
    </w:div>
    <w:div w:id="533884591">
      <w:bodyDiv w:val="1"/>
      <w:marLeft w:val="0"/>
      <w:marRight w:val="0"/>
      <w:marTop w:val="0"/>
      <w:marBottom w:val="0"/>
      <w:divBdr>
        <w:top w:val="none" w:sz="0" w:space="0" w:color="auto"/>
        <w:left w:val="none" w:sz="0" w:space="0" w:color="auto"/>
        <w:bottom w:val="none" w:sz="0" w:space="0" w:color="auto"/>
        <w:right w:val="none" w:sz="0" w:space="0" w:color="auto"/>
      </w:divBdr>
    </w:div>
    <w:div w:id="555049417">
      <w:bodyDiv w:val="1"/>
      <w:marLeft w:val="0"/>
      <w:marRight w:val="0"/>
      <w:marTop w:val="0"/>
      <w:marBottom w:val="0"/>
      <w:divBdr>
        <w:top w:val="none" w:sz="0" w:space="0" w:color="auto"/>
        <w:left w:val="none" w:sz="0" w:space="0" w:color="auto"/>
        <w:bottom w:val="none" w:sz="0" w:space="0" w:color="auto"/>
        <w:right w:val="none" w:sz="0" w:space="0" w:color="auto"/>
      </w:divBdr>
    </w:div>
    <w:div w:id="719136985">
      <w:bodyDiv w:val="1"/>
      <w:marLeft w:val="0"/>
      <w:marRight w:val="0"/>
      <w:marTop w:val="0"/>
      <w:marBottom w:val="0"/>
      <w:divBdr>
        <w:top w:val="none" w:sz="0" w:space="0" w:color="auto"/>
        <w:left w:val="none" w:sz="0" w:space="0" w:color="auto"/>
        <w:bottom w:val="none" w:sz="0" w:space="0" w:color="auto"/>
        <w:right w:val="none" w:sz="0" w:space="0" w:color="auto"/>
      </w:divBdr>
    </w:div>
    <w:div w:id="733551949">
      <w:bodyDiv w:val="1"/>
      <w:marLeft w:val="0"/>
      <w:marRight w:val="0"/>
      <w:marTop w:val="0"/>
      <w:marBottom w:val="0"/>
      <w:divBdr>
        <w:top w:val="none" w:sz="0" w:space="0" w:color="auto"/>
        <w:left w:val="none" w:sz="0" w:space="0" w:color="auto"/>
        <w:bottom w:val="none" w:sz="0" w:space="0" w:color="auto"/>
        <w:right w:val="none" w:sz="0" w:space="0" w:color="auto"/>
      </w:divBdr>
    </w:div>
    <w:div w:id="1004671750">
      <w:bodyDiv w:val="1"/>
      <w:marLeft w:val="0"/>
      <w:marRight w:val="0"/>
      <w:marTop w:val="0"/>
      <w:marBottom w:val="0"/>
      <w:divBdr>
        <w:top w:val="none" w:sz="0" w:space="0" w:color="auto"/>
        <w:left w:val="none" w:sz="0" w:space="0" w:color="auto"/>
        <w:bottom w:val="none" w:sz="0" w:space="0" w:color="auto"/>
        <w:right w:val="none" w:sz="0" w:space="0" w:color="auto"/>
      </w:divBdr>
      <w:divsChild>
        <w:div w:id="283199617">
          <w:marLeft w:val="0"/>
          <w:marRight w:val="0"/>
          <w:marTop w:val="0"/>
          <w:marBottom w:val="0"/>
          <w:divBdr>
            <w:top w:val="none" w:sz="0" w:space="0" w:color="auto"/>
            <w:left w:val="none" w:sz="0" w:space="0" w:color="auto"/>
            <w:bottom w:val="none" w:sz="0" w:space="0" w:color="auto"/>
            <w:right w:val="none" w:sz="0" w:space="0" w:color="auto"/>
          </w:divBdr>
        </w:div>
        <w:div w:id="413861164">
          <w:marLeft w:val="0"/>
          <w:marRight w:val="0"/>
          <w:marTop w:val="0"/>
          <w:marBottom w:val="0"/>
          <w:divBdr>
            <w:top w:val="none" w:sz="0" w:space="0" w:color="auto"/>
            <w:left w:val="none" w:sz="0" w:space="0" w:color="auto"/>
            <w:bottom w:val="none" w:sz="0" w:space="0" w:color="auto"/>
            <w:right w:val="none" w:sz="0" w:space="0" w:color="auto"/>
          </w:divBdr>
        </w:div>
        <w:div w:id="730616112">
          <w:marLeft w:val="0"/>
          <w:marRight w:val="0"/>
          <w:marTop w:val="0"/>
          <w:marBottom w:val="0"/>
          <w:divBdr>
            <w:top w:val="none" w:sz="0" w:space="0" w:color="auto"/>
            <w:left w:val="none" w:sz="0" w:space="0" w:color="auto"/>
            <w:bottom w:val="none" w:sz="0" w:space="0" w:color="auto"/>
            <w:right w:val="none" w:sz="0" w:space="0" w:color="auto"/>
          </w:divBdr>
        </w:div>
        <w:div w:id="860750775">
          <w:marLeft w:val="0"/>
          <w:marRight w:val="0"/>
          <w:marTop w:val="0"/>
          <w:marBottom w:val="0"/>
          <w:divBdr>
            <w:top w:val="none" w:sz="0" w:space="0" w:color="auto"/>
            <w:left w:val="none" w:sz="0" w:space="0" w:color="auto"/>
            <w:bottom w:val="none" w:sz="0" w:space="0" w:color="auto"/>
            <w:right w:val="none" w:sz="0" w:space="0" w:color="auto"/>
          </w:divBdr>
        </w:div>
        <w:div w:id="1691226436">
          <w:marLeft w:val="0"/>
          <w:marRight w:val="0"/>
          <w:marTop w:val="0"/>
          <w:marBottom w:val="0"/>
          <w:divBdr>
            <w:top w:val="none" w:sz="0" w:space="0" w:color="auto"/>
            <w:left w:val="none" w:sz="0" w:space="0" w:color="auto"/>
            <w:bottom w:val="none" w:sz="0" w:space="0" w:color="auto"/>
            <w:right w:val="none" w:sz="0" w:space="0" w:color="auto"/>
          </w:divBdr>
        </w:div>
      </w:divsChild>
    </w:div>
    <w:div w:id="1103451352">
      <w:bodyDiv w:val="1"/>
      <w:marLeft w:val="0"/>
      <w:marRight w:val="0"/>
      <w:marTop w:val="0"/>
      <w:marBottom w:val="0"/>
      <w:divBdr>
        <w:top w:val="none" w:sz="0" w:space="0" w:color="auto"/>
        <w:left w:val="none" w:sz="0" w:space="0" w:color="auto"/>
        <w:bottom w:val="none" w:sz="0" w:space="0" w:color="auto"/>
        <w:right w:val="none" w:sz="0" w:space="0" w:color="auto"/>
      </w:divBdr>
      <w:divsChild>
        <w:div w:id="2113820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109135">
      <w:bodyDiv w:val="1"/>
      <w:marLeft w:val="0"/>
      <w:marRight w:val="0"/>
      <w:marTop w:val="0"/>
      <w:marBottom w:val="0"/>
      <w:divBdr>
        <w:top w:val="none" w:sz="0" w:space="0" w:color="auto"/>
        <w:left w:val="none" w:sz="0" w:space="0" w:color="auto"/>
        <w:bottom w:val="none" w:sz="0" w:space="0" w:color="auto"/>
        <w:right w:val="none" w:sz="0" w:space="0" w:color="auto"/>
      </w:divBdr>
    </w:div>
    <w:div w:id="1244922124">
      <w:bodyDiv w:val="1"/>
      <w:marLeft w:val="0"/>
      <w:marRight w:val="0"/>
      <w:marTop w:val="0"/>
      <w:marBottom w:val="0"/>
      <w:divBdr>
        <w:top w:val="none" w:sz="0" w:space="0" w:color="auto"/>
        <w:left w:val="none" w:sz="0" w:space="0" w:color="auto"/>
        <w:bottom w:val="none" w:sz="0" w:space="0" w:color="auto"/>
        <w:right w:val="none" w:sz="0" w:space="0" w:color="auto"/>
      </w:divBdr>
    </w:div>
    <w:div w:id="1247223341">
      <w:bodyDiv w:val="1"/>
      <w:marLeft w:val="0"/>
      <w:marRight w:val="0"/>
      <w:marTop w:val="0"/>
      <w:marBottom w:val="0"/>
      <w:divBdr>
        <w:top w:val="none" w:sz="0" w:space="0" w:color="auto"/>
        <w:left w:val="none" w:sz="0" w:space="0" w:color="auto"/>
        <w:bottom w:val="none" w:sz="0" w:space="0" w:color="auto"/>
        <w:right w:val="none" w:sz="0" w:space="0" w:color="auto"/>
      </w:divBdr>
    </w:div>
    <w:div w:id="1261140805">
      <w:bodyDiv w:val="1"/>
      <w:marLeft w:val="0"/>
      <w:marRight w:val="0"/>
      <w:marTop w:val="0"/>
      <w:marBottom w:val="0"/>
      <w:divBdr>
        <w:top w:val="none" w:sz="0" w:space="0" w:color="auto"/>
        <w:left w:val="none" w:sz="0" w:space="0" w:color="auto"/>
        <w:bottom w:val="none" w:sz="0" w:space="0" w:color="auto"/>
        <w:right w:val="none" w:sz="0" w:space="0" w:color="auto"/>
      </w:divBdr>
    </w:div>
    <w:div w:id="1312909906">
      <w:bodyDiv w:val="1"/>
      <w:marLeft w:val="0"/>
      <w:marRight w:val="0"/>
      <w:marTop w:val="0"/>
      <w:marBottom w:val="0"/>
      <w:divBdr>
        <w:top w:val="none" w:sz="0" w:space="0" w:color="auto"/>
        <w:left w:val="none" w:sz="0" w:space="0" w:color="auto"/>
        <w:bottom w:val="none" w:sz="0" w:space="0" w:color="auto"/>
        <w:right w:val="none" w:sz="0" w:space="0" w:color="auto"/>
      </w:divBdr>
      <w:divsChild>
        <w:div w:id="418063081">
          <w:marLeft w:val="418"/>
          <w:marRight w:val="0"/>
          <w:marTop w:val="50"/>
          <w:marBottom w:val="0"/>
          <w:divBdr>
            <w:top w:val="none" w:sz="0" w:space="0" w:color="auto"/>
            <w:left w:val="none" w:sz="0" w:space="0" w:color="auto"/>
            <w:bottom w:val="none" w:sz="0" w:space="0" w:color="auto"/>
            <w:right w:val="none" w:sz="0" w:space="0" w:color="auto"/>
          </w:divBdr>
        </w:div>
        <w:div w:id="437874531">
          <w:marLeft w:val="418"/>
          <w:marRight w:val="0"/>
          <w:marTop w:val="50"/>
          <w:marBottom w:val="0"/>
          <w:divBdr>
            <w:top w:val="none" w:sz="0" w:space="0" w:color="auto"/>
            <w:left w:val="none" w:sz="0" w:space="0" w:color="auto"/>
            <w:bottom w:val="none" w:sz="0" w:space="0" w:color="auto"/>
            <w:right w:val="none" w:sz="0" w:space="0" w:color="auto"/>
          </w:divBdr>
        </w:div>
        <w:div w:id="447701324">
          <w:marLeft w:val="864"/>
          <w:marRight w:val="0"/>
          <w:marTop w:val="50"/>
          <w:marBottom w:val="0"/>
          <w:divBdr>
            <w:top w:val="none" w:sz="0" w:space="0" w:color="auto"/>
            <w:left w:val="none" w:sz="0" w:space="0" w:color="auto"/>
            <w:bottom w:val="none" w:sz="0" w:space="0" w:color="auto"/>
            <w:right w:val="none" w:sz="0" w:space="0" w:color="auto"/>
          </w:divBdr>
        </w:div>
        <w:div w:id="641732090">
          <w:marLeft w:val="864"/>
          <w:marRight w:val="0"/>
          <w:marTop w:val="50"/>
          <w:marBottom w:val="0"/>
          <w:divBdr>
            <w:top w:val="none" w:sz="0" w:space="0" w:color="auto"/>
            <w:left w:val="none" w:sz="0" w:space="0" w:color="auto"/>
            <w:bottom w:val="none" w:sz="0" w:space="0" w:color="auto"/>
            <w:right w:val="none" w:sz="0" w:space="0" w:color="auto"/>
          </w:divBdr>
        </w:div>
        <w:div w:id="797727873">
          <w:marLeft w:val="418"/>
          <w:marRight w:val="0"/>
          <w:marTop w:val="50"/>
          <w:marBottom w:val="0"/>
          <w:divBdr>
            <w:top w:val="none" w:sz="0" w:space="0" w:color="auto"/>
            <w:left w:val="none" w:sz="0" w:space="0" w:color="auto"/>
            <w:bottom w:val="none" w:sz="0" w:space="0" w:color="auto"/>
            <w:right w:val="none" w:sz="0" w:space="0" w:color="auto"/>
          </w:divBdr>
        </w:div>
        <w:div w:id="1196042465">
          <w:marLeft w:val="864"/>
          <w:marRight w:val="0"/>
          <w:marTop w:val="50"/>
          <w:marBottom w:val="0"/>
          <w:divBdr>
            <w:top w:val="none" w:sz="0" w:space="0" w:color="auto"/>
            <w:left w:val="none" w:sz="0" w:space="0" w:color="auto"/>
            <w:bottom w:val="none" w:sz="0" w:space="0" w:color="auto"/>
            <w:right w:val="none" w:sz="0" w:space="0" w:color="auto"/>
          </w:divBdr>
        </w:div>
      </w:divsChild>
    </w:div>
    <w:div w:id="1393307687">
      <w:bodyDiv w:val="1"/>
      <w:marLeft w:val="0"/>
      <w:marRight w:val="0"/>
      <w:marTop w:val="0"/>
      <w:marBottom w:val="0"/>
      <w:divBdr>
        <w:top w:val="none" w:sz="0" w:space="0" w:color="auto"/>
        <w:left w:val="none" w:sz="0" w:space="0" w:color="auto"/>
        <w:bottom w:val="none" w:sz="0" w:space="0" w:color="auto"/>
        <w:right w:val="none" w:sz="0" w:space="0" w:color="auto"/>
      </w:divBdr>
    </w:div>
    <w:div w:id="1456094122">
      <w:bodyDiv w:val="1"/>
      <w:marLeft w:val="0"/>
      <w:marRight w:val="0"/>
      <w:marTop w:val="0"/>
      <w:marBottom w:val="0"/>
      <w:divBdr>
        <w:top w:val="none" w:sz="0" w:space="0" w:color="auto"/>
        <w:left w:val="none" w:sz="0" w:space="0" w:color="auto"/>
        <w:bottom w:val="none" w:sz="0" w:space="0" w:color="auto"/>
        <w:right w:val="none" w:sz="0" w:space="0" w:color="auto"/>
      </w:divBdr>
    </w:div>
    <w:div w:id="1468235536">
      <w:bodyDiv w:val="1"/>
      <w:marLeft w:val="0"/>
      <w:marRight w:val="0"/>
      <w:marTop w:val="0"/>
      <w:marBottom w:val="0"/>
      <w:divBdr>
        <w:top w:val="none" w:sz="0" w:space="0" w:color="auto"/>
        <w:left w:val="none" w:sz="0" w:space="0" w:color="auto"/>
        <w:bottom w:val="none" w:sz="0" w:space="0" w:color="auto"/>
        <w:right w:val="none" w:sz="0" w:space="0" w:color="auto"/>
      </w:divBdr>
    </w:div>
    <w:div w:id="1523862272">
      <w:bodyDiv w:val="1"/>
      <w:marLeft w:val="0"/>
      <w:marRight w:val="0"/>
      <w:marTop w:val="0"/>
      <w:marBottom w:val="0"/>
      <w:divBdr>
        <w:top w:val="none" w:sz="0" w:space="0" w:color="auto"/>
        <w:left w:val="none" w:sz="0" w:space="0" w:color="auto"/>
        <w:bottom w:val="none" w:sz="0" w:space="0" w:color="auto"/>
        <w:right w:val="none" w:sz="0" w:space="0" w:color="auto"/>
      </w:divBdr>
      <w:divsChild>
        <w:div w:id="265501424">
          <w:marLeft w:val="0"/>
          <w:marRight w:val="0"/>
          <w:marTop w:val="0"/>
          <w:marBottom w:val="0"/>
          <w:divBdr>
            <w:top w:val="none" w:sz="0" w:space="0" w:color="auto"/>
            <w:left w:val="none" w:sz="0" w:space="0" w:color="auto"/>
            <w:bottom w:val="none" w:sz="0" w:space="0" w:color="auto"/>
            <w:right w:val="none" w:sz="0" w:space="0" w:color="auto"/>
          </w:divBdr>
        </w:div>
        <w:div w:id="373233408">
          <w:marLeft w:val="0"/>
          <w:marRight w:val="0"/>
          <w:marTop w:val="0"/>
          <w:marBottom w:val="0"/>
          <w:divBdr>
            <w:top w:val="none" w:sz="0" w:space="0" w:color="auto"/>
            <w:left w:val="none" w:sz="0" w:space="0" w:color="auto"/>
            <w:bottom w:val="none" w:sz="0" w:space="0" w:color="auto"/>
            <w:right w:val="none" w:sz="0" w:space="0" w:color="auto"/>
          </w:divBdr>
        </w:div>
      </w:divsChild>
    </w:div>
    <w:div w:id="1613633252">
      <w:bodyDiv w:val="1"/>
      <w:marLeft w:val="0"/>
      <w:marRight w:val="0"/>
      <w:marTop w:val="0"/>
      <w:marBottom w:val="0"/>
      <w:divBdr>
        <w:top w:val="none" w:sz="0" w:space="0" w:color="auto"/>
        <w:left w:val="none" w:sz="0" w:space="0" w:color="auto"/>
        <w:bottom w:val="none" w:sz="0" w:space="0" w:color="auto"/>
        <w:right w:val="none" w:sz="0" w:space="0" w:color="auto"/>
      </w:divBdr>
      <w:divsChild>
        <w:div w:id="1286085840">
          <w:marLeft w:val="1742"/>
          <w:marRight w:val="0"/>
          <w:marTop w:val="101"/>
          <w:marBottom w:val="0"/>
          <w:divBdr>
            <w:top w:val="none" w:sz="0" w:space="0" w:color="auto"/>
            <w:left w:val="none" w:sz="0" w:space="0" w:color="auto"/>
            <w:bottom w:val="none" w:sz="0" w:space="0" w:color="auto"/>
            <w:right w:val="none" w:sz="0" w:space="0" w:color="auto"/>
          </w:divBdr>
        </w:div>
      </w:divsChild>
    </w:div>
    <w:div w:id="1746608150">
      <w:bodyDiv w:val="1"/>
      <w:marLeft w:val="0"/>
      <w:marRight w:val="0"/>
      <w:marTop w:val="0"/>
      <w:marBottom w:val="0"/>
      <w:divBdr>
        <w:top w:val="none" w:sz="0" w:space="0" w:color="auto"/>
        <w:left w:val="none" w:sz="0" w:space="0" w:color="auto"/>
        <w:bottom w:val="none" w:sz="0" w:space="0" w:color="auto"/>
        <w:right w:val="none" w:sz="0" w:space="0" w:color="auto"/>
      </w:divBdr>
    </w:div>
    <w:div w:id="1931544082">
      <w:bodyDiv w:val="1"/>
      <w:marLeft w:val="0"/>
      <w:marRight w:val="0"/>
      <w:marTop w:val="0"/>
      <w:marBottom w:val="0"/>
      <w:divBdr>
        <w:top w:val="none" w:sz="0" w:space="0" w:color="auto"/>
        <w:left w:val="none" w:sz="0" w:space="0" w:color="auto"/>
        <w:bottom w:val="none" w:sz="0" w:space="0" w:color="auto"/>
        <w:right w:val="none" w:sz="0" w:space="0" w:color="auto"/>
      </w:divBdr>
    </w:div>
    <w:div w:id="1947420494">
      <w:bodyDiv w:val="1"/>
      <w:marLeft w:val="0"/>
      <w:marRight w:val="0"/>
      <w:marTop w:val="0"/>
      <w:marBottom w:val="0"/>
      <w:divBdr>
        <w:top w:val="none" w:sz="0" w:space="0" w:color="auto"/>
        <w:left w:val="none" w:sz="0" w:space="0" w:color="auto"/>
        <w:bottom w:val="none" w:sz="0" w:space="0" w:color="auto"/>
        <w:right w:val="none" w:sz="0" w:space="0" w:color="auto"/>
      </w:divBdr>
    </w:div>
    <w:div w:id="214580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metu.edu.t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ap.metu.edu.t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k.metu.edu.tr/224b47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4000.tubitak.gov.tr/4004/224b47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a.com.tr/tr/kultur/slovenya-disisleri-bakani-fajon-akdenizin-marie-curieleri-sergisi-acilisina-katildi/3449046" TargetMode="External"/><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65DDE-15DF-464F-814E-14356988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6032</Words>
  <Characters>34383</Characters>
  <Application>Microsoft Office Word</Application>
  <DocSecurity>0</DocSecurity>
  <Lines>286</Lines>
  <Paragraphs>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resatyasin</dc:creator>
  <cp:keywords/>
  <dc:description/>
  <cp:lastModifiedBy>eray senturk</cp:lastModifiedBy>
  <cp:revision>16</cp:revision>
  <cp:lastPrinted>2026-01-18T12:11:00Z</cp:lastPrinted>
  <dcterms:created xsi:type="dcterms:W3CDTF">2026-01-18T17:20:00Z</dcterms:created>
  <dcterms:modified xsi:type="dcterms:W3CDTF">2026-01-20T10:54:00Z</dcterms:modified>
</cp:coreProperties>
</file>